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4D9C" w14:textId="757EF635" w:rsidR="00410A02" w:rsidRPr="00D07092" w:rsidRDefault="0009300F" w:rsidP="007566D3">
      <w:pPr>
        <w:ind w:hanging="142"/>
        <w:rPr>
          <w:rFonts w:ascii="SB Sans Text" w:hAnsi="SB Sans Text" w:cs="SB Sans Text"/>
          <w:sz w:val="24"/>
        </w:rPr>
      </w:pPr>
      <w:r w:rsidRPr="00AB10E0">
        <w:rPr>
          <w:rFonts w:ascii="SB Sans Text" w:hAnsi="SB Sans Text" w:cs="SB Sans Text"/>
          <w:i/>
          <w:iCs/>
          <w:noProof/>
          <w:sz w:val="18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05A0CE" wp14:editId="40F6BADB">
                <wp:simplePos x="0" y="0"/>
                <wp:positionH relativeFrom="column">
                  <wp:posOffset>5057982</wp:posOffset>
                </wp:positionH>
                <wp:positionV relativeFrom="paragraph">
                  <wp:posOffset>-580130</wp:posOffset>
                </wp:positionV>
                <wp:extent cx="3246120" cy="457200"/>
                <wp:effectExtent l="0" t="0" r="0" b="0"/>
                <wp:wrapNone/>
                <wp:docPr id="7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A441D1" w14:textId="77777777" w:rsidR="00261058" w:rsidRPr="0009300F" w:rsidRDefault="00261058" w:rsidP="0009300F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rFonts w:asciiTheme="majorHAnsi" w:hAnsi="Calibri Light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647DAD7D" w14:textId="77777777" w:rsidR="00261058" w:rsidRDefault="00261058" w:rsidP="0009300F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l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605A0C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98.25pt;margin-top:-45.7pt;width:255.6pt;height:3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YXjAEAAP8CAAAOAAAAZHJzL2Uyb0RvYy54bWysUsFuEzEQvSPxD5bvzSahFLTKpgKqokoI&#10;kEo/wPHaWUu2x4wn2c3fM3bSBJVbxWXWnpl98+Y9r26n4MXeYHYQO7mYzaUwUUPv4raTT7/urz5K&#10;kUnFXnmIppMHk+Xt+u2b1Zhas4QBfG9QMEjM7Zg6ORCltmmyHkxQeQbJRC5awKCIr7htelQjowff&#10;LOfzm2YE7BOCNjlz9u5YlOuKb63R9MPabEj4TjI3qhFr3JTYrFeq3aJKg9MnGuoVLIJykYeeoe4U&#10;KbFD9w9UcBohg6WZhtCAtU6bugNvs5i/2OZxUMnUXVicnM4y5f8Hq7/vH9NPFDR9hokNLIKMKbeZ&#10;k2WfyWIoX2YquM4SHs6ymYmE5uS75fXNYsklzbXr9x/YlwLTXP5OmOmrgSDKoZPItlS11P5bpmPr&#10;c0sZFuHeeV/yFyrlRNNmOvHbQH9g2iM718n8e6fQSOEfIkvDRJD8Fzg6rqIegA3XhHVkhE87Auvq&#10;2AJ6RDrNYpUr8dOLKDb+fa9dl3e7/gMAAP//AwBQSwMEFAAGAAgAAAAhAFyH1frmAAAAEQEAAA8A&#10;AABkcnMvZG93bnJldi54bWxMT01PwzAMvSPxHyIjcUFbWhjp2jWdEIgLAiS6SbtmTdZWa5zSpFv5&#10;93gnuFiy3/P7yNeT7djJDL51KCGeR8AMVk63WEvYbl5nS2A+KNSqc2gk/BgP6+L6KleZdmf8Mqcy&#10;1IxE0GdKQhNCn3Huq8ZY5eeuN0jYwQ1WBVqHmutBnUncdvw+igS3qkVyaFRvnhtTHcvRSqjwbrP9&#10;OOLufSyXKEL/Jj6/hZS3N9PLisbTClgwU/j7gEsHyg8FBdu7EbVnnYQkFY9ElTBL4wWwC+MhShJg&#10;ezrF6QJ4kfP/TYpfAAAA//8DAFBLAQItABQABgAIAAAAIQC2gziS/gAAAOEBAAATAAAAAAAAAAAA&#10;AAAAAAAAAABbQ29udGVudF9UeXBlc10ueG1sUEsBAi0AFAAGAAgAAAAhADj9If/WAAAAlAEAAAsA&#10;AAAAAAAAAAAAAAAALwEAAF9yZWxzLy5yZWxzUEsBAi0AFAAGAAgAAAAhAD0Z9heMAQAA/wIAAA4A&#10;AAAAAAAAAAAAAAAALgIAAGRycy9lMm9Eb2MueG1sUEsBAi0AFAAGAAgAAAAhAFyH1frmAAAAEQEA&#10;AA8AAAAAAAAAAAAAAAAA5gMAAGRycy9kb3ducmV2LnhtbFBLBQYAAAAABAAEAPMAAAD5BAAAAAA=&#10;" filled="f" stroked="f">
                <v:textbox inset="0">
                  <w:txbxContent>
                    <w:p w14:paraId="1CA441D1" w14:textId="77777777" w:rsidR="00261058" w:rsidRPr="0009300F" w:rsidRDefault="00261058" w:rsidP="0009300F">
                      <w:pPr>
                        <w:pStyle w:val="a8"/>
                        <w:spacing w:before="0" w:beforeAutospacing="0" w:after="0" w:afterAutospacing="0"/>
                        <w:rPr>
                          <w:rFonts w:asciiTheme="majorHAnsi" w:hAnsi="Calibri Light" w:cstheme="minorBidi"/>
                          <w:color w:val="FFFFFF" w:themeColor="background1"/>
                          <w:kern w:val="24"/>
                          <w:sz w:val="48"/>
                          <w:szCs w:val="48"/>
                          <w:lang w:val="en-GB"/>
                        </w:rPr>
                      </w:pPr>
                    </w:p>
                    <w:p w14:paraId="647DAD7D" w14:textId="77777777" w:rsidR="00261058" w:rsidRDefault="00261058" w:rsidP="0009300F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C700A" w:rsidRPr="0094158D">
        <w:rPr>
          <w:rFonts w:ascii="Arial" w:eastAsia="Arial" w:hAnsi="Arial" w:cs="Arial"/>
          <w:noProof/>
          <w:kern w:val="1"/>
          <w:sz w:val="24"/>
          <w:szCs w:val="24"/>
          <w:lang w:eastAsia="ru-RU"/>
        </w:rPr>
        <w:drawing>
          <wp:inline distT="0" distB="0" distL="0" distR="0" wp14:anchorId="546B29FE" wp14:editId="2E36C539">
            <wp:extent cx="1524000" cy="508000"/>
            <wp:effectExtent l="0" t="0" r="0" b="0"/>
            <wp:docPr id="2" name="Рисунок 2" descr="! Small SBER_LOGO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 Small SBER_LOGO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00F">
        <w:rPr>
          <w:rFonts w:ascii="SB Sans Text" w:hAnsi="SB Sans Text" w:cs="SB Sans Text"/>
          <w:i/>
          <w:iCs/>
          <w:noProof/>
          <w:sz w:val="18"/>
          <w:szCs w:val="16"/>
          <w:lang w:eastAsia="ru-RU"/>
        </w:rPr>
        <w:drawing>
          <wp:inline distT="0" distB="0" distL="0" distR="0" wp14:anchorId="0638EE48" wp14:editId="5119FA13">
            <wp:extent cx="1192713" cy="324644"/>
            <wp:effectExtent l="0" t="0" r="7620" b="0"/>
            <wp:docPr id="74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13" cy="32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B Sans Text" w:hAnsi="SB Sans Text" w:cs="SB Sans Text"/>
          <w:noProof/>
          <w:sz w:val="24"/>
          <w:lang w:eastAsia="ru-RU"/>
        </w:rPr>
        <w:drawing>
          <wp:inline distT="0" distB="0" distL="0" distR="0" wp14:anchorId="6C9B9466" wp14:editId="279903AB">
            <wp:extent cx="1195070" cy="323215"/>
            <wp:effectExtent l="0" t="0" r="5080" b="63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10E0" w:rsidRPr="00AB10E0">
        <w:rPr>
          <w:rFonts w:ascii="SB Sans Text" w:hAnsi="SB Sans Text" w:cs="SB Sans Text"/>
          <w:i/>
          <w:iCs/>
          <w:noProof/>
          <w:sz w:val="18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 wp14:anchorId="0427F666" wp14:editId="22B833E2">
            <wp:simplePos x="0" y="0"/>
            <wp:positionH relativeFrom="column">
              <wp:posOffset>11204575</wp:posOffset>
            </wp:positionH>
            <wp:positionV relativeFrom="paragraph">
              <wp:posOffset>-654685</wp:posOffset>
            </wp:positionV>
            <wp:extent cx="1192530" cy="324485"/>
            <wp:effectExtent l="0" t="0" r="7620" b="0"/>
            <wp:wrapNone/>
            <wp:docPr id="13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A02" w:rsidRPr="00D07092">
        <w:rPr>
          <w:rFonts w:ascii="SB Sans Text" w:hAnsi="SB Sans Text" w:cs="SB Sans Text"/>
          <w:sz w:val="24"/>
        </w:rPr>
        <w:t xml:space="preserve"> </w:t>
      </w:r>
      <w:bookmarkStart w:id="0" w:name="_GoBack"/>
      <w:bookmarkEnd w:id="0"/>
    </w:p>
    <w:p w14:paraId="7F0E4FAE" w14:textId="77777777" w:rsidR="009C700A" w:rsidRDefault="009C700A" w:rsidP="00AB10E0">
      <w:pPr>
        <w:rPr>
          <w:rFonts w:ascii="Arial" w:hAnsi="Arial" w:cs="Arial"/>
          <w:b/>
          <w:bCs/>
          <w:sz w:val="26"/>
          <w:szCs w:val="26"/>
        </w:rPr>
      </w:pPr>
    </w:p>
    <w:p w14:paraId="616C8E11" w14:textId="64BDDC9E" w:rsidR="005A187D" w:rsidRDefault="00DA474D" w:rsidP="005A187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187D">
        <w:rPr>
          <w:rFonts w:ascii="Arial" w:hAnsi="Arial" w:cs="Arial"/>
          <w:b/>
          <w:bCs/>
          <w:sz w:val="24"/>
          <w:szCs w:val="24"/>
        </w:rPr>
        <w:t>Р</w:t>
      </w:r>
      <w:r w:rsidR="00B266F1" w:rsidRPr="005A187D">
        <w:rPr>
          <w:rFonts w:ascii="Arial" w:hAnsi="Arial" w:cs="Arial"/>
          <w:b/>
          <w:bCs/>
          <w:sz w:val="24"/>
          <w:szCs w:val="24"/>
        </w:rPr>
        <w:t>езультаты</w:t>
      </w:r>
      <w:r w:rsidRPr="005A187D">
        <w:rPr>
          <w:rFonts w:ascii="Arial" w:hAnsi="Arial" w:cs="Arial"/>
          <w:b/>
          <w:bCs/>
          <w:sz w:val="24"/>
          <w:szCs w:val="24"/>
        </w:rPr>
        <w:t xml:space="preserve"> работы Группы </w:t>
      </w:r>
      <w:proofErr w:type="spellStart"/>
      <w:r w:rsidRPr="005A187D">
        <w:rPr>
          <w:rFonts w:ascii="Arial" w:hAnsi="Arial" w:cs="Arial"/>
          <w:b/>
          <w:bCs/>
          <w:sz w:val="24"/>
          <w:szCs w:val="24"/>
        </w:rPr>
        <w:t>Сбер</w:t>
      </w:r>
      <w:proofErr w:type="spellEnd"/>
      <w:r w:rsidR="009C700A" w:rsidRPr="005A18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187D">
        <w:rPr>
          <w:rFonts w:ascii="Arial" w:hAnsi="Arial" w:cs="Arial"/>
          <w:b/>
          <w:bCs/>
          <w:sz w:val="24"/>
          <w:szCs w:val="24"/>
        </w:rPr>
        <w:t xml:space="preserve">по </w:t>
      </w:r>
      <w:r w:rsidR="009C700A" w:rsidRPr="005A187D">
        <w:rPr>
          <w:rFonts w:ascii="Arial" w:hAnsi="Arial" w:cs="Arial"/>
          <w:b/>
          <w:bCs/>
          <w:sz w:val="24"/>
          <w:szCs w:val="24"/>
        </w:rPr>
        <w:t xml:space="preserve">МСФО </w:t>
      </w:r>
      <w:r w:rsidR="002B4E42" w:rsidRPr="005A187D">
        <w:rPr>
          <w:rFonts w:ascii="Arial" w:hAnsi="Arial" w:cs="Arial"/>
          <w:b/>
          <w:bCs/>
          <w:sz w:val="24"/>
          <w:szCs w:val="24"/>
        </w:rPr>
        <w:t>за 202</w:t>
      </w:r>
      <w:r w:rsidR="0062367A">
        <w:rPr>
          <w:rFonts w:ascii="Arial" w:hAnsi="Arial" w:cs="Arial"/>
          <w:b/>
          <w:bCs/>
          <w:sz w:val="24"/>
          <w:szCs w:val="24"/>
        </w:rPr>
        <w:t>5</w:t>
      </w:r>
      <w:r w:rsidR="002B4E42" w:rsidRPr="005A187D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14:paraId="65C65AFD" w14:textId="70DEFB0E" w:rsidR="005A187D" w:rsidRDefault="009C700A" w:rsidP="005A187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187D">
        <w:rPr>
          <w:rFonts w:ascii="Arial" w:hAnsi="Arial" w:cs="Arial"/>
          <w:i/>
          <w:iCs/>
          <w:sz w:val="24"/>
          <w:szCs w:val="24"/>
        </w:rPr>
        <w:t>2</w:t>
      </w:r>
      <w:r w:rsidR="00D16F1E">
        <w:rPr>
          <w:rFonts w:ascii="Arial" w:hAnsi="Arial" w:cs="Arial"/>
          <w:i/>
          <w:iCs/>
          <w:sz w:val="24"/>
          <w:szCs w:val="24"/>
        </w:rPr>
        <w:t>6</w:t>
      </w:r>
      <w:r w:rsidRPr="005A187D">
        <w:rPr>
          <w:rFonts w:ascii="Arial" w:hAnsi="Arial" w:cs="Arial"/>
          <w:i/>
          <w:iCs/>
          <w:sz w:val="24"/>
          <w:szCs w:val="24"/>
        </w:rPr>
        <w:t xml:space="preserve"> февраля 202</w:t>
      </w:r>
      <w:r w:rsidR="00D16F1E">
        <w:rPr>
          <w:rFonts w:ascii="Arial" w:hAnsi="Arial" w:cs="Arial"/>
          <w:i/>
          <w:iCs/>
          <w:sz w:val="24"/>
          <w:szCs w:val="24"/>
        </w:rPr>
        <w:t>6</w:t>
      </w:r>
      <w:r w:rsidRPr="005A187D">
        <w:rPr>
          <w:rFonts w:ascii="Arial" w:hAnsi="Arial" w:cs="Arial"/>
          <w:i/>
          <w:iCs/>
          <w:sz w:val="24"/>
          <w:szCs w:val="24"/>
        </w:rPr>
        <w:t xml:space="preserve"> года, Москва – Сбербанк (далее – «Группа» или «</w:t>
      </w:r>
      <w:proofErr w:type="spellStart"/>
      <w:r w:rsidRPr="005A187D">
        <w:rPr>
          <w:rFonts w:ascii="Arial" w:hAnsi="Arial" w:cs="Arial"/>
          <w:i/>
          <w:iCs/>
          <w:sz w:val="24"/>
          <w:szCs w:val="24"/>
        </w:rPr>
        <w:t>Сбер</w:t>
      </w:r>
      <w:proofErr w:type="spellEnd"/>
      <w:r w:rsidRPr="005A187D">
        <w:rPr>
          <w:rFonts w:ascii="Arial" w:hAnsi="Arial" w:cs="Arial"/>
          <w:i/>
          <w:iCs/>
          <w:sz w:val="24"/>
          <w:szCs w:val="24"/>
        </w:rPr>
        <w:t>») опубликовал обобщенную консолидированную финансовую отчетность в соответствии с международными стандартами финансовой отчетности (МСФО) (далее – «отчетность») за 12 месяцев 202</w:t>
      </w:r>
      <w:r w:rsidR="00D16F1E">
        <w:rPr>
          <w:rFonts w:ascii="Arial" w:hAnsi="Arial" w:cs="Arial"/>
          <w:i/>
          <w:iCs/>
          <w:sz w:val="24"/>
          <w:szCs w:val="24"/>
        </w:rPr>
        <w:t>5</w:t>
      </w:r>
      <w:r w:rsidRPr="005A187D">
        <w:rPr>
          <w:rFonts w:ascii="Arial" w:hAnsi="Arial" w:cs="Arial"/>
          <w:i/>
          <w:iCs/>
          <w:sz w:val="24"/>
          <w:szCs w:val="24"/>
        </w:rPr>
        <w:t xml:space="preserve"> года и по состоянию на 31 декабря 202</w:t>
      </w:r>
      <w:r w:rsidR="00D16F1E">
        <w:rPr>
          <w:rFonts w:ascii="Arial" w:hAnsi="Arial" w:cs="Arial"/>
          <w:i/>
          <w:iCs/>
          <w:sz w:val="24"/>
          <w:szCs w:val="24"/>
        </w:rPr>
        <w:t>5</w:t>
      </w:r>
      <w:r w:rsidRPr="005A187D">
        <w:rPr>
          <w:rFonts w:ascii="Arial" w:hAnsi="Arial" w:cs="Arial"/>
          <w:i/>
          <w:iCs/>
          <w:sz w:val="24"/>
          <w:szCs w:val="24"/>
        </w:rPr>
        <w:t xml:space="preserve"> года.  </w:t>
      </w:r>
    </w:p>
    <w:p w14:paraId="161A9A55" w14:textId="074760FF" w:rsidR="005A187D" w:rsidRDefault="00B266F1" w:rsidP="005A187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 xml:space="preserve">Чистая прибыль </w:t>
      </w:r>
      <w:proofErr w:type="spellStart"/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Сбера</w:t>
      </w:r>
      <w:proofErr w:type="spellEnd"/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 xml:space="preserve"> за 12 месяцев 202</w:t>
      </w:r>
      <w:r w:rsidR="00D16F1E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5</w:t>
      </w:r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 xml:space="preserve"> года составила 1</w:t>
      </w:r>
      <w:r w:rsidR="000700DF"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 xml:space="preserve"> </w:t>
      </w:r>
      <w:r w:rsidR="00D16F1E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705</w:t>
      </w:r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,</w:t>
      </w:r>
      <w:r w:rsidR="00D16F1E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9</w:t>
      </w:r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 xml:space="preserve"> млрд руб. в соответствии с международными стандартами финансовой отчетности (МСФО)</w:t>
      </w:r>
    </w:p>
    <w:p w14:paraId="117F45AE" w14:textId="77777777" w:rsidR="00D07092" w:rsidRPr="005A187D" w:rsidRDefault="00D07092" w:rsidP="005A187D">
      <w:pPr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A187D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Герман Греф, Президент, Председатель Правления Сбербанка:</w:t>
      </w:r>
    </w:p>
    <w:p w14:paraId="34FE15B9" w14:textId="77777777" w:rsidR="00D16F1E" w:rsidRPr="00AA4CDA" w:rsidRDefault="00D07092" w:rsidP="00D16F1E">
      <w:pPr>
        <w:spacing w:line="240" w:lineRule="auto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 w:rsidRPr="00AA4CDA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«</w:t>
      </w:r>
      <w:r w:rsidR="00D16F1E" w:rsidRPr="00AA4CDA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Сегодня мы подводим итоги работы Группы </w:t>
      </w:r>
      <w:proofErr w:type="spellStart"/>
      <w:r w:rsidR="00D16F1E" w:rsidRPr="00AA4CDA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Сбер</w:t>
      </w:r>
      <w:proofErr w:type="spellEnd"/>
      <w:r w:rsidR="00D16F1E" w:rsidRPr="00AA4CDA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за 2025 год. Чистая прибыль составила 1 705,9 млрд рублей, увеличившись на 7,9% год к году. Рентабельность капитала достигла 22,7%. </w:t>
      </w:r>
    </w:p>
    <w:p w14:paraId="12942AC2" w14:textId="77777777" w:rsidR="00D16F1E" w:rsidRPr="00D16F1E" w:rsidRDefault="00D16F1E" w:rsidP="00D16F1E">
      <w:pPr>
        <w:spacing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Ключевой драйвер нашего роста — органическая интеграция искусственного интеллекта в процессы Группы и в повседневную жизнь людей. Мы не просто увеличили нашу активную базу клиентов до 110,7 миллионов в рознице и 3,5 млн в корпоративном сегменте — мы качественно меняем структуру взаимодействия со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Сбером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 Сегодня уже 12 миллионов человек ежемесячно пользуются ИИ-решениями в приложениях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Сбера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. В 4 квартале программа лояльности «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СберБизнес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Спасибо» стала востребованным инструментом для каждого третьего предпринимателя, объединив 1 млн компаний.</w:t>
      </w:r>
    </w:p>
    <w:p w14:paraId="59391211" w14:textId="6EFD12A6" w:rsidR="00D16F1E" w:rsidRPr="00D16F1E" w:rsidRDefault="00D16F1E" w:rsidP="00D16F1E">
      <w:pPr>
        <w:spacing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Рост кредитного портфеля в 2025 году был обеспечен в большей степени корпоративным сегментом: портфель корпоративных клиентов увеличился на 15,4% и превысил 31,2 трлн рублей. Розничный портфель рос более умеренными темпами на фоне сохранившегося давления высоких ставок в экономике и регуляторных ограничений, прибавив по итогам года 6</w:t>
      </w:r>
      <w:r w:rsidR="004F2439" w:rsidRPr="004F2439">
        <w:rPr>
          <w:rFonts w:ascii="Arial" w:eastAsia="Times New Roman" w:hAnsi="Arial" w:cs="Arial"/>
          <w:bCs/>
          <w:i/>
          <w:iCs/>
          <w:sz w:val="24"/>
          <w:szCs w:val="24"/>
        </w:rPr>
        <w:t>,0</w:t>
      </w:r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% и составив 19,2 трлн рублей. Спрос в значительной мере поддержала программа семейной ипотеки. Привлекательные условия обеспечили высокий уровень сберегательной активности - средства частных клиентов увеличились на 22,1% до 33,5 трлн рублей.</w:t>
      </w:r>
    </w:p>
    <w:p w14:paraId="7D76FBDA" w14:textId="77777777" w:rsidR="00D16F1E" w:rsidRPr="00D16F1E" w:rsidRDefault="00D16F1E" w:rsidP="00D16F1E">
      <w:pPr>
        <w:spacing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По итогам 2025 года нам удалось удержать показатель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cost-to-income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ratio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на уровне прошлого года (30,3%). Мы сохранили высокую эффективность благодаря тому, что искусственный интеллект стал не отдельным направлением, а основой операционной модели. Мы развиваем генеративный ИИ на базе семейства собственных фундаментальных моделей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GigaChat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, и последовательно расширяем их функциональность — от текстовых сценариев к мультимодальному анализу, включая голос, изображения и видео. ИИ-агенты и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мультиагентные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системы уже используются в ключевых направлениях, позволяя кратно ускорять процессы и получать измеримый экономический эффект. </w:t>
      </w:r>
    </w:p>
    <w:p w14:paraId="2FA90EE3" w14:textId="0D9E974B" w:rsidR="005A187D" w:rsidRDefault="00D16F1E" w:rsidP="00D16F1E">
      <w:pPr>
        <w:spacing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Объем собственных средств Группы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Сбер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вырос в 2025 году до 8,3 трлн руб., а достаточность капитала банковской Группы Н20.0 увеличилась до 13,7%</w:t>
      </w:r>
      <w:r w:rsidR="00660146" w:rsidRPr="00660146">
        <w:rPr>
          <w:rFonts w:ascii="Arial" w:eastAsia="Times New Roman" w:hAnsi="Arial" w:cs="Arial"/>
          <w:bCs/>
          <w:i/>
          <w:iCs/>
          <w:sz w:val="24"/>
          <w:szCs w:val="24"/>
          <w:vertAlign w:val="superscript"/>
        </w:rPr>
        <w:t>11</w:t>
      </w:r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 Достигнутый запас прочности позволяет нам подтвердить поставленные ранее на 2026 год цели. Наш следующий фокус — масштабирование платформенных ИИ-решений и агентов, которые повышают эффективность бизнеса и формируют устойчивую основу для развития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человекоцентричной</w:t>
      </w:r>
      <w:proofErr w:type="spellEnd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бизнес-модели </w:t>
      </w:r>
      <w:proofErr w:type="spellStart"/>
      <w:r w:rsidRPr="00D16F1E">
        <w:rPr>
          <w:rFonts w:ascii="Arial" w:eastAsia="Times New Roman" w:hAnsi="Arial" w:cs="Arial"/>
          <w:bCs/>
          <w:i/>
          <w:iCs/>
          <w:sz w:val="24"/>
          <w:szCs w:val="24"/>
        </w:rPr>
        <w:t>Сбера</w:t>
      </w:r>
      <w:proofErr w:type="spellEnd"/>
      <w:r w:rsidR="00D07092" w:rsidRPr="005A187D">
        <w:rPr>
          <w:rFonts w:ascii="Arial" w:eastAsia="Times New Roman" w:hAnsi="Arial" w:cs="Arial"/>
          <w:bCs/>
          <w:i/>
          <w:iCs/>
          <w:sz w:val="24"/>
          <w:szCs w:val="24"/>
        </w:rPr>
        <w:t>».</w:t>
      </w:r>
    </w:p>
    <w:p w14:paraId="71E00735" w14:textId="381CA0E2" w:rsidR="00F908F3" w:rsidRPr="000D21C4" w:rsidRDefault="00F908F3" w:rsidP="005A187D">
      <w:pPr>
        <w:spacing w:line="240" w:lineRule="auto"/>
        <w:jc w:val="both"/>
        <w:rPr>
          <w:rFonts w:ascii="Arial" w:eastAsia="Times New Roman" w:hAnsi="Arial" w:cs="Arial"/>
          <w:bCs/>
          <w:i/>
          <w:iCs/>
          <w:sz w:val="21"/>
          <w:szCs w:val="21"/>
        </w:rPr>
      </w:pPr>
      <w:r w:rsidRPr="00F908F3">
        <w:rPr>
          <w:rFonts w:ascii="Arial" w:eastAsia="Times New Roman" w:hAnsi="Arial" w:cs="Arial"/>
          <w:bCs/>
          <w:i/>
          <w:iCs/>
          <w:sz w:val="21"/>
          <w:szCs w:val="21"/>
        </w:rPr>
        <w:t>* Темпы роста указаны без учета валютной переоценки</w:t>
      </w:r>
    </w:p>
    <w:p w14:paraId="44F82DB2" w14:textId="245B109D" w:rsidR="00625779" w:rsidRPr="005A187D" w:rsidRDefault="00B266F1" w:rsidP="005A187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A187D">
        <w:rPr>
          <w:rFonts w:ascii="Arial" w:eastAsia="Times New Roman" w:hAnsi="Arial" w:cs="Arial"/>
          <w:b/>
          <w:sz w:val="24"/>
          <w:szCs w:val="24"/>
        </w:rPr>
        <w:lastRenderedPageBreak/>
        <w:t>Ключевые финансовые показатели</w:t>
      </w:r>
    </w:p>
    <w:tbl>
      <w:tblPr>
        <w:tblStyle w:val="a9"/>
        <w:tblpPr w:leftFromText="181" w:rightFromText="181" w:vertAnchor="text" w:horzAnchor="margin" w:tblpX="38" w:tblpY="74"/>
        <w:tblOverlap w:val="never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635"/>
        <w:gridCol w:w="2507"/>
        <w:gridCol w:w="2033"/>
      </w:tblGrid>
      <w:tr w:rsidR="00F908F3" w14:paraId="147111C3" w14:textId="77777777" w:rsidTr="007977B8">
        <w:trPr>
          <w:trHeight w:val="58"/>
        </w:trPr>
        <w:tc>
          <w:tcPr>
            <w:tcW w:w="5000" w:type="pct"/>
            <w:gridSpan w:val="4"/>
            <w:shd w:val="clear" w:color="auto" w:fill="F2FDF2"/>
          </w:tcPr>
          <w:p w14:paraId="300A411F" w14:textId="77777777" w:rsidR="00F908F3" w:rsidRPr="009E5A24" w:rsidRDefault="00F908F3" w:rsidP="007977B8">
            <w:pPr>
              <w:spacing w:before="120" w:after="120"/>
              <w:ind w:right="-6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A24">
              <w:rPr>
                <w:rFonts w:ascii="SB Sans Display Light" w:eastAsia="+mn-ea" w:hAnsi="SB Sans Display Light" w:cs="SB Sans Display Light"/>
                <w:b/>
                <w:bCs/>
                <w:color w:val="000000"/>
                <w:kern w:val="24"/>
                <w:lang w:eastAsia="ru-RU"/>
              </w:rPr>
              <w:t>12 месяцев 2025 года</w:t>
            </w:r>
          </w:p>
        </w:tc>
      </w:tr>
      <w:tr w:rsidR="00F908F3" w14:paraId="0741FFFD" w14:textId="77777777" w:rsidTr="007977B8">
        <w:trPr>
          <w:trHeight w:val="341"/>
        </w:trPr>
        <w:tc>
          <w:tcPr>
            <w:tcW w:w="1471" w:type="pct"/>
            <w:shd w:val="clear" w:color="auto" w:fill="F2FDF2"/>
            <w:vAlign w:val="center"/>
          </w:tcPr>
          <w:p w14:paraId="50C334F7" w14:textId="77777777" w:rsidR="00F908F3" w:rsidRPr="00172F2A" w:rsidRDefault="00F908F3" w:rsidP="007977B8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(</w:t>
            </w: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sym w:font="Wingdings" w:char="F0E4"/>
            </w: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7,9</w:t>
            </w: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% г/г)</w:t>
            </w:r>
          </w:p>
        </w:tc>
        <w:tc>
          <w:tcPr>
            <w:tcW w:w="1296" w:type="pct"/>
            <w:shd w:val="clear" w:color="auto" w:fill="F2FDF2"/>
            <w:vAlign w:val="center"/>
          </w:tcPr>
          <w:p w14:paraId="6BD3BA60" w14:textId="77777777" w:rsidR="00F908F3" w:rsidRPr="00172F2A" w:rsidRDefault="00F908F3" w:rsidP="007977B8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(</w:t>
            </w: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sym w:font="Wingdings" w:char="F0E4"/>
            </w: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8,0</w:t>
            </w: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% г/г)</w:t>
            </w:r>
          </w:p>
        </w:tc>
        <w:tc>
          <w:tcPr>
            <w:tcW w:w="1233" w:type="pct"/>
            <w:shd w:val="clear" w:color="auto" w:fill="F2FDF2"/>
            <w:vAlign w:val="center"/>
          </w:tcPr>
          <w:p w14:paraId="34A1DC21" w14:textId="77777777" w:rsidR="00F908F3" w:rsidRPr="00172F2A" w:rsidRDefault="00F908F3" w:rsidP="007977B8">
            <w:pPr>
              <w:jc w:val="right"/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F2FDF2"/>
            <w:vAlign w:val="center"/>
          </w:tcPr>
          <w:p w14:paraId="40869D01" w14:textId="77777777" w:rsidR="00F908F3" w:rsidRPr="00172F2A" w:rsidRDefault="00F908F3" w:rsidP="007977B8">
            <w:pPr>
              <w:jc w:val="right"/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F908F3" w14:paraId="407684A8" w14:textId="77777777" w:rsidTr="007977B8">
        <w:trPr>
          <w:trHeight w:val="278"/>
        </w:trPr>
        <w:tc>
          <w:tcPr>
            <w:tcW w:w="1471" w:type="pct"/>
            <w:shd w:val="clear" w:color="auto" w:fill="F2FDF2"/>
            <w:vAlign w:val="center"/>
          </w:tcPr>
          <w:p w14:paraId="0A065179" w14:textId="77777777" w:rsidR="00F908F3" w:rsidRPr="003B4B52" w:rsidRDefault="00F908F3" w:rsidP="00797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1 705,</w:t>
            </w:r>
            <w:r w:rsidRPr="007C37CA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9</w:t>
            </w:r>
            <w:r w:rsidRPr="00714DC3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714DC3">
              <w:rPr>
                <w:rFonts w:ascii="SB Sans Display Light" w:eastAsia="+mn-ea" w:hAnsi="SB Sans Display Light" w:cs="SB Sans Display Light"/>
                <w:color w:val="0AEF8A"/>
                <w:kern w:val="24"/>
                <w:sz w:val="28"/>
                <w:szCs w:val="28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млрд руб.</w:t>
            </w:r>
          </w:p>
        </w:tc>
        <w:tc>
          <w:tcPr>
            <w:tcW w:w="1296" w:type="pct"/>
            <w:shd w:val="clear" w:color="auto" w:fill="F2FDF2"/>
            <w:vAlign w:val="center"/>
          </w:tcPr>
          <w:p w14:paraId="2F704A27" w14:textId="77777777" w:rsidR="00F908F3" w:rsidRPr="00714DC3" w:rsidRDefault="00F908F3" w:rsidP="007977B8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77,8</w:t>
            </w:r>
            <w:r w:rsidRPr="00714DC3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714DC3">
              <w:rPr>
                <w:rFonts w:ascii="SB Sans Display Light" w:eastAsia="+mn-ea" w:hAnsi="SB Sans Display Light" w:cs="SB Sans Display Light"/>
                <w:color w:val="0AEF8A"/>
                <w:kern w:val="24"/>
                <w:sz w:val="28"/>
                <w:szCs w:val="28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руб.</w:t>
            </w:r>
          </w:p>
        </w:tc>
        <w:tc>
          <w:tcPr>
            <w:tcW w:w="1233" w:type="pct"/>
            <w:shd w:val="clear" w:color="auto" w:fill="F2FDF2"/>
            <w:vAlign w:val="center"/>
          </w:tcPr>
          <w:p w14:paraId="01D980AE" w14:textId="77777777" w:rsidR="00F908F3" w:rsidRDefault="00F908F3" w:rsidP="007977B8"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22,7</w:t>
            </w:r>
            <w:r w:rsidRPr="00714DC3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28"/>
                <w:szCs w:val="28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%</w:t>
            </w:r>
          </w:p>
        </w:tc>
        <w:tc>
          <w:tcPr>
            <w:tcW w:w="1000" w:type="pct"/>
            <w:shd w:val="clear" w:color="auto" w:fill="F2FDF2"/>
            <w:vAlign w:val="center"/>
          </w:tcPr>
          <w:p w14:paraId="102A43C5" w14:textId="77777777" w:rsidR="00F908F3" w:rsidRDefault="00F908F3" w:rsidP="007977B8"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13,7%</w:t>
            </w:r>
          </w:p>
        </w:tc>
      </w:tr>
      <w:tr w:rsidR="00F908F3" w14:paraId="458BEFB1" w14:textId="77777777" w:rsidTr="007977B8">
        <w:trPr>
          <w:trHeight w:val="736"/>
        </w:trPr>
        <w:tc>
          <w:tcPr>
            <w:tcW w:w="1471" w:type="pct"/>
            <w:shd w:val="clear" w:color="auto" w:fill="F2FDF2"/>
          </w:tcPr>
          <w:p w14:paraId="1DCBF255" w14:textId="77777777" w:rsidR="00F908F3" w:rsidRPr="00714DC3" w:rsidRDefault="00F908F3" w:rsidP="007977B8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Чистая прибыль </w:t>
            </w: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96" w:type="pct"/>
            <w:shd w:val="clear" w:color="auto" w:fill="F2FDF2"/>
          </w:tcPr>
          <w:p w14:paraId="341C5D6E" w14:textId="77777777" w:rsidR="00F908F3" w:rsidRPr="00714DC3" w:rsidRDefault="00F908F3" w:rsidP="007977B8">
            <w:pPr>
              <w:spacing w:before="120" w:after="24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Прибыль 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  <w:t>на акцию (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val="en-US" w:eastAsia="ru-RU"/>
              </w:rPr>
              <w:t>EPS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)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233" w:type="pct"/>
            <w:shd w:val="clear" w:color="auto" w:fill="F2FDF2"/>
          </w:tcPr>
          <w:p w14:paraId="3F39016E" w14:textId="77777777" w:rsidR="00F908F3" w:rsidRPr="00714DC3" w:rsidRDefault="00F908F3" w:rsidP="007977B8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Рентабельность </w:t>
            </w: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  <w:t>капитала</w:t>
            </w:r>
          </w:p>
        </w:tc>
        <w:tc>
          <w:tcPr>
            <w:tcW w:w="1000" w:type="pct"/>
            <w:shd w:val="clear" w:color="auto" w:fill="F2FDF2"/>
          </w:tcPr>
          <w:p w14:paraId="08F8A2D8" w14:textId="39A1195E" w:rsidR="00F908F3" w:rsidRPr="000E17FE" w:rsidRDefault="00F908F3" w:rsidP="007977B8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val="en-US"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Достаточность </w:t>
            </w: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капитала (Н20.0)</w:t>
            </w:r>
            <w:r w:rsidR="000E17FE" w:rsidRPr="000E17FE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vertAlign w:val="superscript"/>
                <w:lang w:val="en-US" w:eastAsia="ru-RU"/>
              </w:rPr>
              <w:t>11</w:t>
            </w:r>
          </w:p>
        </w:tc>
      </w:tr>
    </w:tbl>
    <w:p w14:paraId="1857C290" w14:textId="1B6A7CDF" w:rsidR="00D07092" w:rsidRDefault="00D07092" w:rsidP="000D21C4">
      <w:pPr>
        <w:rPr>
          <w:rFonts w:ascii="Arial" w:eastAsia="Times New Roman" w:hAnsi="Arial" w:cs="Arial"/>
          <w:bCs/>
          <w:i/>
          <w:iCs/>
          <w:szCs w:val="24"/>
        </w:rPr>
      </w:pPr>
    </w:p>
    <w:tbl>
      <w:tblPr>
        <w:tblStyle w:val="a9"/>
        <w:tblpPr w:leftFromText="181" w:rightFromText="181" w:vertAnchor="text" w:horzAnchor="margin" w:tblpX="-2" w:tblpY="74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635"/>
        <w:gridCol w:w="2506"/>
        <w:gridCol w:w="2072"/>
      </w:tblGrid>
      <w:tr w:rsidR="00F908F3" w14:paraId="022F2F07" w14:textId="77777777" w:rsidTr="007977B8">
        <w:trPr>
          <w:trHeight w:val="58"/>
        </w:trPr>
        <w:tc>
          <w:tcPr>
            <w:tcW w:w="5000" w:type="pct"/>
            <w:gridSpan w:val="4"/>
            <w:shd w:val="clear" w:color="auto" w:fill="F2FDF2"/>
          </w:tcPr>
          <w:p w14:paraId="5697373E" w14:textId="77777777" w:rsidR="00F908F3" w:rsidRPr="009E5A24" w:rsidRDefault="00F908F3" w:rsidP="007977B8">
            <w:pPr>
              <w:spacing w:before="120" w:after="120"/>
              <w:ind w:right="-6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A24">
              <w:rPr>
                <w:rFonts w:ascii="SB Sans Display Light" w:eastAsia="+mn-ea" w:hAnsi="SB Sans Display Light" w:cs="SB Sans Display Light"/>
                <w:b/>
                <w:bCs/>
                <w:color w:val="000000"/>
                <w:kern w:val="24"/>
                <w:lang w:eastAsia="ru-RU"/>
              </w:rPr>
              <w:t>4 квартал 2025 года</w:t>
            </w:r>
          </w:p>
        </w:tc>
      </w:tr>
      <w:tr w:rsidR="00F908F3" w14:paraId="4627E5FB" w14:textId="77777777" w:rsidTr="007977B8">
        <w:trPr>
          <w:trHeight w:val="341"/>
        </w:trPr>
        <w:tc>
          <w:tcPr>
            <w:tcW w:w="1466" w:type="pct"/>
            <w:shd w:val="clear" w:color="auto" w:fill="F2FDF2"/>
            <w:vAlign w:val="center"/>
          </w:tcPr>
          <w:p w14:paraId="672BC96D" w14:textId="77777777" w:rsidR="00F908F3" w:rsidRPr="00172F2A" w:rsidRDefault="00F908F3" w:rsidP="007977B8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(</w:t>
            </w: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sym w:font="Wingdings" w:char="F0E4"/>
            </w: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12,9</w:t>
            </w:r>
            <w:r w:rsidRPr="00172F2A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% г/г)</w:t>
            </w:r>
          </w:p>
        </w:tc>
        <w:tc>
          <w:tcPr>
            <w:tcW w:w="1291" w:type="pct"/>
            <w:shd w:val="clear" w:color="auto" w:fill="F2FDF2"/>
            <w:vAlign w:val="center"/>
          </w:tcPr>
          <w:p w14:paraId="15DB490C" w14:textId="77777777" w:rsidR="00F908F3" w:rsidRPr="001D5727" w:rsidRDefault="00F908F3" w:rsidP="007977B8">
            <w:pP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</w:pPr>
            <w:r w:rsidRPr="001D5727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(</w:t>
            </w:r>
            <w:r w:rsidRPr="001D5727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sym w:font="Wingdings" w:char="F0E4"/>
            </w:r>
            <w:r w:rsidRPr="001D5727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13,1% г/г)</w:t>
            </w:r>
          </w:p>
        </w:tc>
        <w:tc>
          <w:tcPr>
            <w:tcW w:w="1228" w:type="pct"/>
            <w:shd w:val="clear" w:color="auto" w:fill="F2FDF2"/>
            <w:vAlign w:val="center"/>
          </w:tcPr>
          <w:p w14:paraId="188E11CD" w14:textId="77777777" w:rsidR="00F908F3" w:rsidRPr="00172F2A" w:rsidRDefault="00F908F3" w:rsidP="007977B8">
            <w:pPr>
              <w:jc w:val="right"/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014" w:type="pct"/>
            <w:shd w:val="clear" w:color="auto" w:fill="F2FDF2"/>
            <w:vAlign w:val="center"/>
          </w:tcPr>
          <w:p w14:paraId="1D4DA10B" w14:textId="77777777" w:rsidR="00F908F3" w:rsidRPr="00172F2A" w:rsidRDefault="00F908F3" w:rsidP="007977B8">
            <w:pPr>
              <w:jc w:val="right"/>
              <w:rPr>
                <w:rFonts w:ascii="SB Sans Display Light" w:eastAsia="+mn-ea" w:hAnsi="SB Sans Display Light" w:cs="SB Sans Display Light"/>
                <w:color w:val="0AEF8A"/>
                <w:kern w:val="24"/>
                <w:sz w:val="20"/>
                <w:szCs w:val="2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F908F3" w14:paraId="1BAC78A9" w14:textId="77777777" w:rsidTr="007977B8">
        <w:trPr>
          <w:trHeight w:val="278"/>
        </w:trPr>
        <w:tc>
          <w:tcPr>
            <w:tcW w:w="1466" w:type="pct"/>
            <w:shd w:val="clear" w:color="auto" w:fill="F2FDF2"/>
            <w:vAlign w:val="center"/>
          </w:tcPr>
          <w:p w14:paraId="03AEB6DD" w14:textId="77777777" w:rsidR="00F908F3" w:rsidRPr="003B4B52" w:rsidRDefault="00F908F3" w:rsidP="00797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398,6</w:t>
            </w:r>
            <w:r w:rsidRPr="00714DC3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714DC3">
              <w:rPr>
                <w:rFonts w:ascii="SB Sans Display Light" w:eastAsia="+mn-ea" w:hAnsi="SB Sans Display Light" w:cs="SB Sans Display Light"/>
                <w:color w:val="0AEF8A"/>
                <w:kern w:val="24"/>
                <w:sz w:val="28"/>
                <w:szCs w:val="28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млрд руб.</w:t>
            </w:r>
          </w:p>
        </w:tc>
        <w:tc>
          <w:tcPr>
            <w:tcW w:w="1291" w:type="pct"/>
            <w:shd w:val="clear" w:color="auto" w:fill="F2FDF2"/>
            <w:vAlign w:val="center"/>
          </w:tcPr>
          <w:p w14:paraId="60A9E63E" w14:textId="77777777" w:rsidR="00F908F3" w:rsidRPr="001D5727" w:rsidRDefault="00F908F3" w:rsidP="007977B8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18,2</w:t>
            </w:r>
            <w:r w:rsidRPr="001D5727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руб.</w:t>
            </w:r>
          </w:p>
        </w:tc>
        <w:tc>
          <w:tcPr>
            <w:tcW w:w="1228" w:type="pct"/>
            <w:shd w:val="clear" w:color="auto" w:fill="F2FDF2"/>
            <w:vAlign w:val="center"/>
          </w:tcPr>
          <w:p w14:paraId="70F2CDEF" w14:textId="77777777" w:rsidR="00F908F3" w:rsidRDefault="00F908F3" w:rsidP="007977B8"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19,9</w:t>
            </w:r>
            <w:r w:rsidRPr="00714DC3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28"/>
                <w:szCs w:val="28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%</w:t>
            </w:r>
          </w:p>
        </w:tc>
        <w:tc>
          <w:tcPr>
            <w:tcW w:w="1014" w:type="pct"/>
            <w:shd w:val="clear" w:color="auto" w:fill="F2FDF2"/>
            <w:vAlign w:val="center"/>
          </w:tcPr>
          <w:p w14:paraId="2DD33BDE" w14:textId="77777777" w:rsidR="00F908F3" w:rsidRDefault="00F908F3" w:rsidP="007977B8"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79000">
                        <w14:srgbClr w14:val="42E384"/>
                      </w14:gs>
                      <w14:gs w14:pos="0">
                        <w14:srgbClr w14:val="0087CD"/>
                      </w14:gs>
                      <w14:gs w14:pos="44000">
                        <w14:srgbClr w14:val="00AC84"/>
                      </w14:gs>
                    </w14:gsLst>
                    <w14:lin w14:ang="2700000" w14:scaled="0"/>
                  </w14:gradFill>
                </w14:textFill>
              </w:rPr>
              <w:t>37,0</w:t>
            </w:r>
            <w:r w:rsidRPr="00714DC3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28"/>
                <w:szCs w:val="28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%</w:t>
            </w:r>
          </w:p>
        </w:tc>
      </w:tr>
      <w:tr w:rsidR="00F908F3" w14:paraId="7CEC15BC" w14:textId="77777777" w:rsidTr="007977B8">
        <w:trPr>
          <w:trHeight w:val="969"/>
        </w:trPr>
        <w:tc>
          <w:tcPr>
            <w:tcW w:w="1466" w:type="pct"/>
            <w:shd w:val="clear" w:color="auto" w:fill="F2FDF2"/>
          </w:tcPr>
          <w:p w14:paraId="429DAA09" w14:textId="77777777" w:rsidR="00F908F3" w:rsidRPr="00714DC3" w:rsidRDefault="00F908F3" w:rsidP="007977B8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Чистая прибыль </w:t>
            </w: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91" w:type="pct"/>
            <w:shd w:val="clear" w:color="auto" w:fill="F2FDF2"/>
          </w:tcPr>
          <w:p w14:paraId="3590EF6A" w14:textId="77777777" w:rsidR="00F908F3" w:rsidRPr="001D5727" w:rsidRDefault="00F908F3" w:rsidP="007977B8">
            <w:pP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Прибыль 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  <w:t>на акцию (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val="en-US" w:eastAsia="ru-RU"/>
              </w:rPr>
              <w:t>EPS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)</w:t>
            </w: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228" w:type="pct"/>
            <w:shd w:val="clear" w:color="auto" w:fill="F2FDF2"/>
          </w:tcPr>
          <w:p w14:paraId="143D8EAD" w14:textId="77777777" w:rsidR="00F908F3" w:rsidRPr="00714DC3" w:rsidRDefault="00F908F3" w:rsidP="007977B8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 w:rsidRPr="00714DC3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Рентабельность </w:t>
            </w: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  <w:t>капитала</w:t>
            </w:r>
          </w:p>
        </w:tc>
        <w:tc>
          <w:tcPr>
            <w:tcW w:w="1014" w:type="pct"/>
            <w:shd w:val="clear" w:color="auto" w:fill="F2FDF2"/>
          </w:tcPr>
          <w:p w14:paraId="18973C2C" w14:textId="77777777" w:rsidR="00F908F3" w:rsidRPr="00714DC3" w:rsidRDefault="00F908F3" w:rsidP="007977B8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Отношение операционных расходов к доходам</w:t>
            </w:r>
          </w:p>
        </w:tc>
      </w:tr>
    </w:tbl>
    <w:p w14:paraId="372C0B2F" w14:textId="27AF9B44" w:rsidR="00E54293" w:rsidRPr="005A187D" w:rsidRDefault="00F908F3" w:rsidP="00BD0AC2">
      <w:pPr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eastAsiaTheme="minorEastAsia" w:hAnsi="Arial" w:cs="Arial"/>
          <w:kern w:val="24"/>
          <w:sz w:val="24"/>
          <w:szCs w:val="24"/>
        </w:rPr>
      </w:pPr>
      <w:r w:rsidRPr="00F908F3">
        <w:rPr>
          <w:rFonts w:ascii="Arial" w:eastAsiaTheme="minorEastAsia" w:hAnsi="Arial" w:cs="Arial"/>
          <w:kern w:val="24"/>
          <w:sz w:val="24"/>
          <w:szCs w:val="24"/>
        </w:rPr>
        <w:t>Количество розничных клиентов выросло на 0,2 млн за квартал или на 0,8 млн с начала года и составило 110,7 млн человек.</w:t>
      </w:r>
    </w:p>
    <w:p w14:paraId="2FB5D049" w14:textId="1476A114" w:rsidR="00E54293" w:rsidRPr="005A187D" w:rsidRDefault="00F908F3" w:rsidP="00BD0AC2">
      <w:pPr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eastAsiaTheme="minorEastAsia" w:hAnsi="Arial" w:cs="Arial"/>
          <w:kern w:val="24"/>
          <w:sz w:val="24"/>
          <w:szCs w:val="24"/>
        </w:rPr>
      </w:pPr>
      <w:r w:rsidRPr="00F908F3">
        <w:rPr>
          <w:rFonts w:ascii="Arial" w:eastAsiaTheme="minorEastAsia" w:hAnsi="Arial" w:cs="Arial"/>
          <w:kern w:val="24"/>
          <w:sz w:val="24"/>
          <w:szCs w:val="24"/>
        </w:rPr>
        <w:t xml:space="preserve">Число подписчиков </w:t>
      </w:r>
      <w:proofErr w:type="spellStart"/>
      <w:r w:rsidRPr="00F908F3">
        <w:rPr>
          <w:rFonts w:ascii="Arial" w:eastAsiaTheme="minorEastAsia" w:hAnsi="Arial" w:cs="Arial"/>
          <w:kern w:val="24"/>
          <w:sz w:val="24"/>
          <w:szCs w:val="24"/>
        </w:rPr>
        <w:t>СберПрайм</w:t>
      </w:r>
      <w:proofErr w:type="spellEnd"/>
      <w:r w:rsidRPr="00F908F3">
        <w:rPr>
          <w:rFonts w:ascii="Arial" w:eastAsiaTheme="minorEastAsia" w:hAnsi="Arial" w:cs="Arial"/>
          <w:kern w:val="24"/>
          <w:sz w:val="24"/>
          <w:szCs w:val="24"/>
        </w:rPr>
        <w:t xml:space="preserve"> выросло за квартал на 0,6 млн или на 0,4 млн с начала года до 22,9 млн человек.</w:t>
      </w:r>
      <w:r w:rsidR="009A4A16" w:rsidRPr="005A187D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</w:p>
    <w:p w14:paraId="6D043B90" w14:textId="6F7901E1" w:rsidR="00E54293" w:rsidRPr="005A187D" w:rsidRDefault="00F908F3" w:rsidP="00BD0AC2">
      <w:pPr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eastAsiaTheme="minorEastAsia" w:hAnsi="Arial" w:cs="Arial"/>
          <w:kern w:val="24"/>
          <w:sz w:val="24"/>
          <w:szCs w:val="24"/>
        </w:rPr>
      </w:pPr>
      <w:r w:rsidRPr="00F908F3">
        <w:rPr>
          <w:rFonts w:ascii="Arial" w:eastAsiaTheme="minorEastAsia" w:hAnsi="Arial" w:cs="Arial"/>
          <w:kern w:val="24"/>
          <w:sz w:val="24"/>
          <w:szCs w:val="24"/>
        </w:rPr>
        <w:t>Совокупный кредитный портфель вырос на 4,6% за 4 квартал 2025 г. и на 11,9% с начала года (без учета валютной переоценки</w:t>
      </w:r>
      <w:r w:rsidRPr="00F908F3">
        <w:rPr>
          <w:rFonts w:ascii="Arial" w:eastAsiaTheme="minorEastAsia" w:hAnsi="Arial" w:cs="Arial"/>
          <w:kern w:val="24"/>
          <w:sz w:val="24"/>
          <w:szCs w:val="24"/>
          <w:vertAlign w:val="superscript"/>
        </w:rPr>
        <w:t>7</w:t>
      </w:r>
      <w:r w:rsidRPr="00F908F3">
        <w:rPr>
          <w:rFonts w:ascii="Arial" w:eastAsiaTheme="minorEastAsia" w:hAnsi="Arial" w:cs="Arial"/>
          <w:kern w:val="24"/>
          <w:sz w:val="24"/>
          <w:szCs w:val="24"/>
        </w:rPr>
        <w:t>) до 50,4 трлн руб.</w:t>
      </w:r>
    </w:p>
    <w:p w14:paraId="566DE23F" w14:textId="7AED7033" w:rsidR="00E54293" w:rsidRPr="005A187D" w:rsidRDefault="00F908F3" w:rsidP="00BD0AC2">
      <w:pPr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eastAsiaTheme="minorEastAsia" w:hAnsi="Arial" w:cs="Arial"/>
          <w:kern w:val="24"/>
          <w:sz w:val="24"/>
          <w:szCs w:val="24"/>
        </w:rPr>
      </w:pPr>
      <w:r w:rsidRPr="00F908F3">
        <w:rPr>
          <w:rFonts w:ascii="Arial" w:eastAsiaTheme="minorEastAsia" w:hAnsi="Arial" w:cs="Arial"/>
          <w:kern w:val="24"/>
          <w:sz w:val="24"/>
          <w:szCs w:val="24"/>
        </w:rPr>
        <w:t>Рост совокупных средств клиентов составил 3,6% за 4 квартал 2025 г. или 13,1% с начала года (без учета валютной переоценки</w:t>
      </w:r>
      <w:r w:rsidRPr="00F908F3">
        <w:rPr>
          <w:rFonts w:ascii="Arial" w:eastAsiaTheme="minorEastAsia" w:hAnsi="Arial" w:cs="Arial"/>
          <w:kern w:val="24"/>
          <w:sz w:val="24"/>
          <w:szCs w:val="24"/>
          <w:vertAlign w:val="superscript"/>
        </w:rPr>
        <w:t>7</w:t>
      </w:r>
      <w:r w:rsidRPr="00F908F3">
        <w:rPr>
          <w:rFonts w:ascii="Arial" w:eastAsiaTheme="minorEastAsia" w:hAnsi="Arial" w:cs="Arial"/>
          <w:kern w:val="24"/>
          <w:sz w:val="24"/>
          <w:szCs w:val="24"/>
        </w:rPr>
        <w:t>). Объем средств клиентов вырос до 49,4 трлн руб.</w:t>
      </w:r>
    </w:p>
    <w:p w14:paraId="508D6A1F" w14:textId="5926CE4D" w:rsidR="00E54293" w:rsidRPr="005A187D" w:rsidRDefault="00A22F9E" w:rsidP="00A22F9E">
      <w:pPr>
        <w:numPr>
          <w:ilvl w:val="0"/>
          <w:numId w:val="1"/>
        </w:numPr>
        <w:spacing w:line="240" w:lineRule="auto"/>
        <w:ind w:left="426" w:hanging="284"/>
        <w:rPr>
          <w:rFonts w:ascii="Arial" w:eastAsiaTheme="minorEastAsia" w:hAnsi="Arial" w:cs="Arial"/>
          <w:kern w:val="24"/>
          <w:sz w:val="24"/>
          <w:szCs w:val="24"/>
        </w:rPr>
      </w:pPr>
      <w:r w:rsidRPr="00A22F9E">
        <w:rPr>
          <w:rFonts w:ascii="Arial" w:eastAsiaTheme="minorEastAsia" w:hAnsi="Arial" w:cs="Arial"/>
          <w:kern w:val="24"/>
          <w:sz w:val="24"/>
          <w:szCs w:val="24"/>
        </w:rPr>
        <w:t xml:space="preserve">Чистая прибыль Группы за 12 месяцев 2025 г. выросла на 7,9% г/г до 1 705,9 млрд руб. За 4 квартал 2025 г. </w:t>
      </w:r>
      <w:proofErr w:type="spellStart"/>
      <w:r w:rsidRPr="00A22F9E">
        <w:rPr>
          <w:rFonts w:ascii="Arial" w:eastAsiaTheme="minorEastAsia" w:hAnsi="Arial" w:cs="Arial"/>
          <w:kern w:val="24"/>
          <w:sz w:val="24"/>
          <w:szCs w:val="24"/>
        </w:rPr>
        <w:t>Сбер</w:t>
      </w:r>
      <w:proofErr w:type="spellEnd"/>
      <w:r w:rsidRPr="00A22F9E">
        <w:rPr>
          <w:rFonts w:ascii="Arial" w:eastAsiaTheme="minorEastAsia" w:hAnsi="Arial" w:cs="Arial"/>
          <w:kern w:val="24"/>
          <w:sz w:val="24"/>
          <w:szCs w:val="24"/>
        </w:rPr>
        <w:t xml:space="preserve"> заработал 398,6 млрд руб. чистой прибыли (+12,9% г/г).</w:t>
      </w:r>
      <w:r w:rsidR="009A4A16" w:rsidRPr="005A187D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</w:p>
    <w:p w14:paraId="5C2CFBEE" w14:textId="4DBD888D" w:rsidR="00E54293" w:rsidRPr="005A187D" w:rsidRDefault="00D4204B" w:rsidP="00D4204B">
      <w:pPr>
        <w:numPr>
          <w:ilvl w:val="0"/>
          <w:numId w:val="1"/>
        </w:numPr>
        <w:spacing w:line="240" w:lineRule="auto"/>
        <w:ind w:left="426" w:hanging="284"/>
        <w:rPr>
          <w:rFonts w:ascii="Arial" w:eastAsiaTheme="minorEastAsia" w:hAnsi="Arial" w:cs="Arial"/>
          <w:kern w:val="24"/>
          <w:sz w:val="24"/>
          <w:szCs w:val="24"/>
        </w:rPr>
      </w:pPr>
      <w:r w:rsidRPr="00D4204B">
        <w:rPr>
          <w:rFonts w:ascii="Arial" w:eastAsiaTheme="minorEastAsia" w:hAnsi="Arial" w:cs="Arial"/>
          <w:kern w:val="24"/>
          <w:sz w:val="24"/>
          <w:szCs w:val="24"/>
        </w:rPr>
        <w:t>Прибыль на обыкновенную акцию</w:t>
      </w:r>
      <w:r w:rsidRPr="00D4204B">
        <w:rPr>
          <w:rFonts w:ascii="Arial" w:eastAsiaTheme="minorEastAsia" w:hAnsi="Arial" w:cs="Arial"/>
          <w:kern w:val="24"/>
          <w:sz w:val="24"/>
          <w:szCs w:val="24"/>
          <w:vertAlign w:val="superscript"/>
        </w:rPr>
        <w:t>1</w:t>
      </w:r>
      <w:r w:rsidRPr="00D4204B">
        <w:rPr>
          <w:rFonts w:ascii="Arial" w:eastAsiaTheme="minorEastAsia" w:hAnsi="Arial" w:cs="Arial"/>
          <w:kern w:val="24"/>
          <w:sz w:val="24"/>
          <w:szCs w:val="24"/>
        </w:rPr>
        <w:t xml:space="preserve"> за 12 месяцев 2025 года составила 77,8 руб. и увеличилась на 8,0% г/г.</w:t>
      </w:r>
      <w:r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Pr="00D4204B">
        <w:rPr>
          <w:rFonts w:ascii="Arial" w:eastAsiaTheme="minorEastAsia" w:hAnsi="Arial" w:cs="Arial"/>
          <w:kern w:val="24"/>
          <w:sz w:val="24"/>
          <w:szCs w:val="24"/>
        </w:rPr>
        <w:t>За 4 квартал 2025 года этот показатель вырос на 13,1% г/г до 18,2 руб.</w:t>
      </w:r>
      <w:r w:rsidR="009A4A16" w:rsidRPr="005A187D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</w:p>
    <w:p w14:paraId="2785A23A" w14:textId="50D433D1" w:rsidR="00421C92" w:rsidRPr="000D21C4" w:rsidRDefault="007E0A11" w:rsidP="00FA52B8">
      <w:pPr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</w:pPr>
      <w:r w:rsidRPr="000D21C4">
        <w:rPr>
          <w:rFonts w:ascii="Arial" w:eastAsiaTheme="minorEastAsia" w:hAnsi="Arial" w:cs="Arial"/>
          <w:kern w:val="24"/>
          <w:sz w:val="24"/>
          <w:szCs w:val="24"/>
        </w:rPr>
        <w:t>Рентабельность капитала составила 22,7% за 12 месяцев 2025 г.</w:t>
      </w:r>
    </w:p>
    <w:p w14:paraId="564675BA" w14:textId="3FC29973" w:rsidR="004B35F4" w:rsidRPr="005A187D" w:rsidRDefault="004B35F4" w:rsidP="005A187D">
      <w:pPr>
        <w:spacing w:line="240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</w:pPr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Основные показатели активности клиентов</w:t>
      </w:r>
    </w:p>
    <w:tbl>
      <w:tblPr>
        <w:tblStyle w:val="a9"/>
        <w:tblpPr w:leftFromText="181" w:rightFromText="181" w:vertAnchor="text" w:horzAnchor="margin" w:tblpY="74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1"/>
        <w:gridCol w:w="2551"/>
        <w:gridCol w:w="2553"/>
      </w:tblGrid>
      <w:tr w:rsidR="00E35ACC" w14:paraId="0FBD6F15" w14:textId="77777777" w:rsidTr="0089496C">
        <w:trPr>
          <w:trHeight w:val="271"/>
        </w:trPr>
        <w:tc>
          <w:tcPr>
            <w:tcW w:w="5000" w:type="pct"/>
            <w:gridSpan w:val="4"/>
            <w:shd w:val="clear" w:color="auto" w:fill="F2FDF2"/>
          </w:tcPr>
          <w:p w14:paraId="681F3191" w14:textId="326C7941" w:rsidR="00E35ACC" w:rsidRPr="00620C94" w:rsidRDefault="00E35ACC" w:rsidP="008949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ACC" w14:paraId="5BDE4E34" w14:textId="77777777" w:rsidTr="0089496C">
        <w:trPr>
          <w:trHeight w:val="271"/>
        </w:trPr>
        <w:tc>
          <w:tcPr>
            <w:tcW w:w="1249" w:type="pct"/>
            <w:shd w:val="clear" w:color="auto" w:fill="F2FDF2"/>
            <w:vAlign w:val="center"/>
          </w:tcPr>
          <w:p w14:paraId="4672B15B" w14:textId="77777777" w:rsidR="005F1B5A" w:rsidRDefault="005F1B5A" w:rsidP="005F1B5A">
            <w:pP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+ 0,8 млн</w:t>
            </w:r>
          </w:p>
          <w:p w14:paraId="5889C9FD" w14:textId="390ACE52" w:rsidR="005F1B5A" w:rsidRDefault="005F1B5A" w:rsidP="005F1B5A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с начала года</w:t>
            </w:r>
          </w:p>
          <w:p w14:paraId="715B1F37" w14:textId="237B9EDA" w:rsidR="00E35ACC" w:rsidRPr="003B4B52" w:rsidRDefault="00E35ACC" w:rsidP="008949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1</w:t>
            </w:r>
            <w:r w:rsidR="00625779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10</w:t>
            </w: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,</w:t>
            </w:r>
            <w:r w:rsidR="00625779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7</w:t>
            </w:r>
            <w:r w:rsidRPr="003B4B52">
              <w:rPr>
                <w:rFonts w:ascii="SB Sans Display Light" w:eastAsia="+mn-ea" w:hAnsi="SB Sans Display Light" w:cs="SB Sans Display Light"/>
                <w:color w:val="FF0000"/>
                <w:kern w:val="24"/>
                <w:sz w:val="40"/>
                <w:szCs w:val="40"/>
                <w:lang w:eastAsia="ru-RU"/>
              </w:rPr>
              <w:t xml:space="preserve"> </w:t>
            </w:r>
            <w:r w:rsidRPr="003B4B52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млн</w:t>
            </w:r>
          </w:p>
        </w:tc>
        <w:tc>
          <w:tcPr>
            <w:tcW w:w="1250" w:type="pct"/>
            <w:shd w:val="clear" w:color="auto" w:fill="F2FDF2"/>
            <w:vAlign w:val="center"/>
          </w:tcPr>
          <w:p w14:paraId="537021D6" w14:textId="77777777" w:rsidR="005F1B5A" w:rsidRDefault="005F1B5A" w:rsidP="005F1B5A">
            <w:pP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+ 1,9 млн</w:t>
            </w:r>
          </w:p>
          <w:p w14:paraId="7E50038A" w14:textId="0FCEF7F2" w:rsidR="005F1B5A" w:rsidRDefault="005F1B5A" w:rsidP="005F1B5A">
            <w:pP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с начала года</w:t>
            </w:r>
          </w:p>
          <w:p w14:paraId="4FC96FB9" w14:textId="4AAD883A" w:rsidR="00E35ACC" w:rsidRPr="003B4B52" w:rsidRDefault="00E35ACC" w:rsidP="008949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8</w:t>
            </w:r>
            <w:r w:rsidR="00625779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7</w:t>
            </w:r>
            <w:r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,</w:t>
            </w:r>
            <w:r w:rsidR="00625779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6</w:t>
            </w:r>
            <w:r w:rsidRPr="003B4B52">
              <w:rPr>
                <w:rFonts w:ascii="SB Sans Display Light" w:eastAsia="+mn-ea" w:hAnsi="SB Sans Display Light" w:cs="SB Sans Display Light"/>
                <w:color w:val="0AEF8A"/>
                <w:kern w:val="24"/>
                <w:sz w:val="40"/>
                <w:szCs w:val="40"/>
                <w:lang w:eastAsia="ru-RU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млн</w:t>
            </w:r>
          </w:p>
        </w:tc>
        <w:tc>
          <w:tcPr>
            <w:tcW w:w="1250" w:type="pct"/>
            <w:shd w:val="clear" w:color="auto" w:fill="F2FDF2"/>
            <w:vAlign w:val="center"/>
          </w:tcPr>
          <w:p w14:paraId="47592F85" w14:textId="77777777" w:rsidR="005F1B5A" w:rsidRPr="00DA3C17" w:rsidRDefault="005F1B5A" w:rsidP="005F1B5A">
            <w:pP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+</w:t>
            </w:r>
            <w:r w:rsidRPr="00421C92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0,4</w:t>
            </w:r>
            <w:r w:rsidRPr="00DA3C17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млн</w:t>
            </w:r>
          </w:p>
          <w:p w14:paraId="63DA436A" w14:textId="4380DE61" w:rsidR="005F1B5A" w:rsidRDefault="005F1B5A" w:rsidP="005F1B5A">
            <w:pPr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</w:pPr>
            <w:r w:rsidRPr="00DA3C17"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с начала года</w:t>
            </w:r>
          </w:p>
          <w:p w14:paraId="7DCFF807" w14:textId="12626570" w:rsidR="00E35ACC" w:rsidRDefault="00625779" w:rsidP="0089496C">
            <w:r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22</w:t>
            </w:r>
            <w:r w:rsidR="00C57620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,</w:t>
            </w:r>
            <w:r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9</w:t>
            </w:r>
            <w:r w:rsidR="00E35ACC" w:rsidRPr="007D277B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млн</w:t>
            </w:r>
          </w:p>
        </w:tc>
        <w:tc>
          <w:tcPr>
            <w:tcW w:w="1251" w:type="pct"/>
            <w:shd w:val="clear" w:color="auto" w:fill="F2FDF2"/>
            <w:vAlign w:val="center"/>
          </w:tcPr>
          <w:p w14:paraId="68782C39" w14:textId="77777777" w:rsidR="005F1B5A" w:rsidRDefault="005F1B5A" w:rsidP="005F1B5A">
            <w:pP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+ 6,2%</w:t>
            </w:r>
          </w:p>
          <w:p w14:paraId="5671D7FF" w14:textId="654577B2" w:rsidR="005F1B5A" w:rsidRDefault="005F1B5A" w:rsidP="005F1B5A">
            <w:pPr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SB Sans Display Light" w:eastAsia="+mn-ea" w:hAnsi="SB Sans Display Light" w:cs="SB Sans Display Ligh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с начала года</w:t>
            </w:r>
          </w:p>
          <w:p w14:paraId="2E6B0CFF" w14:textId="38B6C35F" w:rsidR="00E35ACC" w:rsidRDefault="00E35ACC" w:rsidP="0089496C">
            <w:r w:rsidRPr="007D277B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3,</w:t>
            </w:r>
            <w:r w:rsidR="005F1B5A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>5</w:t>
            </w:r>
            <w:r w:rsidRPr="007D277B">
              <w:rPr>
                <w:rFonts w:ascii="SB Sans Display Light" w:eastAsiaTheme="minorEastAsia" w:hAnsi="SB Sans Display Light" w:cs="SB Sans Display Light"/>
                <w:color w:val="0AEF8A"/>
                <w:kern w:val="24"/>
                <w:sz w:val="40"/>
                <w:szCs w:val="40"/>
                <w14:textFill>
                  <w14:gradFill>
                    <w14:gsLst>
                      <w14:gs w14:pos="100000">
                        <w14:srgbClr w14:val="0AEF8A"/>
                      </w14:gs>
                      <w14:gs w14:pos="13000">
                        <w14:srgbClr w14:val="0C8ACB"/>
                      </w14:gs>
                      <w14:gs w14:pos="65000">
                        <w14:srgbClr w14:val="01D601"/>
                      </w14:gs>
                    </w14:gsLst>
                    <w14:lin w14:ang="2700000" w14:scaled="0"/>
                  </w14:gradFill>
                </w14:textFill>
              </w:rPr>
              <w:t xml:space="preserve"> млн</w:t>
            </w:r>
          </w:p>
        </w:tc>
      </w:tr>
      <w:tr w:rsidR="00E35ACC" w14:paraId="33618D79" w14:textId="77777777" w:rsidTr="0089496C">
        <w:trPr>
          <w:trHeight w:val="716"/>
        </w:trPr>
        <w:tc>
          <w:tcPr>
            <w:tcW w:w="1249" w:type="pct"/>
            <w:shd w:val="clear" w:color="auto" w:fill="F2FDF2"/>
          </w:tcPr>
          <w:p w14:paraId="7774AED5" w14:textId="4CDD9B5A" w:rsidR="00E35ACC" w:rsidRPr="003B4B52" w:rsidRDefault="00E35ACC" w:rsidP="0089496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А</w:t>
            </w:r>
            <w:r w:rsidRPr="003B4B52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ктивные клиенты —</w:t>
            </w:r>
            <w:r w:rsidRPr="003B4B52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  <w:t>физические лица</w:t>
            </w:r>
          </w:p>
        </w:tc>
        <w:tc>
          <w:tcPr>
            <w:tcW w:w="1250" w:type="pct"/>
            <w:shd w:val="clear" w:color="auto" w:fill="F2FDF2"/>
          </w:tcPr>
          <w:p w14:paraId="64FEF32B" w14:textId="76ADACE5" w:rsidR="00E35ACC" w:rsidRPr="00186AE6" w:rsidRDefault="00E35ACC" w:rsidP="0089496C">
            <w:pPr>
              <w:spacing w:before="12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94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Активные ежемесячные пользователи </w:t>
            </w:r>
            <w:proofErr w:type="spellStart"/>
            <w:r w:rsidRPr="00620C94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СберБанк</w:t>
            </w:r>
            <w:proofErr w:type="spellEnd"/>
            <w:r w:rsidRPr="00620C94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 Онлайн</w:t>
            </w:r>
            <w:r w:rsidRPr="00186AE6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и приложения </w:t>
            </w:r>
            <w:proofErr w:type="spellStart"/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Сбер</w:t>
            </w:r>
            <w:proofErr w:type="spellEnd"/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val="en-US" w:eastAsia="ru-RU"/>
              </w:rPr>
              <w:t>Kids</w:t>
            </w:r>
          </w:p>
        </w:tc>
        <w:tc>
          <w:tcPr>
            <w:tcW w:w="1250" w:type="pct"/>
            <w:shd w:val="clear" w:color="auto" w:fill="F2FDF2"/>
          </w:tcPr>
          <w:p w14:paraId="24E43BDB" w14:textId="3BD86B5F" w:rsidR="00C57620" w:rsidRPr="00C57620" w:rsidRDefault="00625779" w:rsidP="00C57620">
            <w:pPr>
              <w:spacing w:before="120"/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Пользователи подписки </w:t>
            </w:r>
            <w:proofErr w:type="spellStart"/>
            <w:r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>СберПрайм</w:t>
            </w:r>
            <w:proofErr w:type="spellEnd"/>
          </w:p>
          <w:p w14:paraId="62D8FC0D" w14:textId="77777777" w:rsidR="00E35ACC" w:rsidRPr="00620C94" w:rsidRDefault="00E35ACC" w:rsidP="0089496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pct"/>
            <w:shd w:val="clear" w:color="auto" w:fill="F2FDF2"/>
          </w:tcPr>
          <w:p w14:paraId="757C0F3D" w14:textId="77777777" w:rsidR="00E35ACC" w:rsidRPr="00620C94" w:rsidRDefault="00E35ACC" w:rsidP="0089496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94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t xml:space="preserve">Активные </w:t>
            </w:r>
            <w:r w:rsidRPr="00620C94">
              <w:rPr>
                <w:rFonts w:ascii="SB Sans Display" w:eastAsia="+mn-ea" w:hAnsi="SB Sans Display" w:cs="+mn-cs"/>
                <w:color w:val="000000"/>
                <w:kern w:val="24"/>
                <w:sz w:val="18"/>
                <w:szCs w:val="18"/>
                <w:lang w:eastAsia="ru-RU"/>
              </w:rPr>
              <w:br/>
              <w:t>корпоративные клиенты</w:t>
            </w:r>
          </w:p>
        </w:tc>
      </w:tr>
    </w:tbl>
    <w:p w14:paraId="407D2D9A" w14:textId="77777777" w:rsidR="006B2584" w:rsidRPr="00625779" w:rsidRDefault="006B2584" w:rsidP="005A187D">
      <w:pPr>
        <w:spacing w:before="120" w:line="240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</w:pPr>
    </w:p>
    <w:p w14:paraId="45276349" w14:textId="1318B838" w:rsidR="00AE5116" w:rsidRPr="005A187D" w:rsidRDefault="004E6935" w:rsidP="005A187D">
      <w:pPr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</w:pPr>
      <w:r w:rsidRPr="005A187D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 xml:space="preserve">Обзор основных показателей отчета о прибылях и убытках </w:t>
      </w:r>
      <w:r w:rsidR="0020145E"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t>и баланса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493"/>
        <w:gridCol w:w="1020"/>
        <w:gridCol w:w="1008"/>
        <w:gridCol w:w="1195"/>
        <w:gridCol w:w="1097"/>
        <w:gridCol w:w="1097"/>
        <w:gridCol w:w="1155"/>
      </w:tblGrid>
      <w:tr w:rsidR="00AE5116" w:rsidRPr="000A7267" w14:paraId="23BB9053" w14:textId="77777777" w:rsidTr="007977B8">
        <w:trPr>
          <w:trHeight w:val="562"/>
        </w:trPr>
        <w:tc>
          <w:tcPr>
            <w:tcW w:w="3493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  <w:hideMark/>
          </w:tcPr>
          <w:p w14:paraId="7F0EBB23" w14:textId="77777777" w:rsidR="00AE5116" w:rsidRPr="000A7267" w:rsidRDefault="00AE5116" w:rsidP="007977B8">
            <w:pPr>
              <w:spacing w:after="0" w:line="240" w:lineRule="auto"/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</w:pPr>
            <w:r w:rsidRPr="000A7267"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  <w:t>в млрд, если не указано иное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2E2ED0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  <w:t>4 квартал 2025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4DC6E091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  <w:t>4</w:t>
            </w:r>
            <w:r w:rsidRPr="000A7267"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  <w:t xml:space="preserve"> квартал 2024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61A1F004" w14:textId="77777777" w:rsidR="00AE5116" w:rsidRPr="00984DD4" w:rsidRDefault="00AE5116" w:rsidP="007977B8">
            <w:pPr>
              <w:spacing w:after="0" w:line="240" w:lineRule="auto"/>
              <w:jc w:val="right"/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</w:pPr>
            <w:r w:rsidRPr="00984DD4"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  <w:t>изменение</w:t>
            </w:r>
            <w:r w:rsidRPr="00984DD4"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  <w:br/>
              <w:t xml:space="preserve">за квартал </w:t>
            </w:r>
            <w:r w:rsidRPr="00984DD4"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  <w:br/>
              <w:t>г/г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81C563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  <w:t>12M 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397E2B13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sz w:val="16"/>
                <w:szCs w:val="16"/>
                <w:lang w:eastAsia="ru-RU"/>
              </w:rPr>
              <w:t>12M 2024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  <w:hideMark/>
          </w:tcPr>
          <w:p w14:paraId="38475603" w14:textId="77777777" w:rsidR="00AE5116" w:rsidRPr="00984DD4" w:rsidRDefault="00AE5116" w:rsidP="007977B8">
            <w:pPr>
              <w:spacing w:after="0" w:line="240" w:lineRule="auto"/>
              <w:jc w:val="right"/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</w:pPr>
            <w:r w:rsidRPr="00984DD4"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  <w:t>изменение</w:t>
            </w:r>
            <w:r w:rsidRPr="00984DD4">
              <w:rPr>
                <w:rFonts w:ascii="SB Sans Text" w:eastAsia="Times New Roman" w:hAnsi="SB Sans Text" w:cs="SB Sans Text"/>
                <w:i/>
                <w:sz w:val="16"/>
                <w:szCs w:val="16"/>
                <w:lang w:eastAsia="ru-RU"/>
              </w:rPr>
              <w:br/>
              <w:t>за 12 месяцев г/г</w:t>
            </w:r>
          </w:p>
        </w:tc>
      </w:tr>
      <w:tr w:rsidR="00AE5116" w:rsidRPr="000A7267" w14:paraId="657AD874" w14:textId="77777777" w:rsidTr="007977B8">
        <w:trPr>
          <w:trHeight w:val="11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6D9C94D2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Чистые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процентные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доходы</w:t>
            </w:r>
          </w:p>
        </w:tc>
        <w:tc>
          <w:tcPr>
            <w:tcW w:w="1020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061FDF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>
              <w:rPr>
                <w:rFonts w:ascii="SB Sans Text" w:hAnsi="SB Sans Text" w:cs="SB Sans Text"/>
                <w:sz w:val="16"/>
                <w:szCs w:val="16"/>
              </w:rPr>
              <w:t>988,2</w:t>
            </w:r>
          </w:p>
        </w:tc>
        <w:tc>
          <w:tcPr>
            <w:tcW w:w="1008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250170ED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824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4355EF71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19,9%</w:t>
            </w:r>
          </w:p>
        </w:tc>
        <w:tc>
          <w:tcPr>
            <w:tcW w:w="1097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52CF967F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>
              <w:rPr>
                <w:rFonts w:ascii="SB Sans Text" w:hAnsi="SB Sans Text" w:cs="SB Sans Text"/>
                <w:sz w:val="16"/>
                <w:szCs w:val="16"/>
              </w:rPr>
              <w:t>3 556,0</w:t>
            </w:r>
          </w:p>
        </w:tc>
        <w:tc>
          <w:tcPr>
            <w:tcW w:w="1097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00CD54D1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2 999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603B7EC3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18,5%</w:t>
            </w:r>
          </w:p>
        </w:tc>
      </w:tr>
      <w:tr w:rsidR="00AE5116" w:rsidRPr="000A7267" w14:paraId="60E581B2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34CEC8BC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Чистые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комиссионные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доходы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F7B207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219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875BFA9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231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08469FAC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-5,2%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86844D5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833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73254D75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842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7919768A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-1,1%</w:t>
            </w:r>
          </w:p>
        </w:tc>
      </w:tr>
      <w:tr w:rsidR="00AE5116" w:rsidRPr="000A7267" w14:paraId="083ECC25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5FAD635A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Операционный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доход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Группы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до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резервов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C95DCC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1 010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D201660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883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330754B7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14,4%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49C347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4 089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7D5499F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3 506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6C760F88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16,6%</w:t>
            </w:r>
          </w:p>
        </w:tc>
      </w:tr>
      <w:tr w:rsidR="00AE5116" w:rsidRPr="000A7267" w14:paraId="2E2CAB75" w14:textId="77777777" w:rsidTr="007977B8">
        <w:trPr>
          <w:trHeight w:val="322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6C2A64F5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Чистые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расходы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вследствие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изменения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кредитного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качества</w:t>
            </w:r>
            <w:r w:rsidRPr="005757BC">
              <w:rPr>
                <w:rFonts w:ascii="SB Sans Display" w:eastAsiaTheme="minorHAnsi" w:hAnsi="SB Sans Display" w:cs="SB Sans Display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316FE9B7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-106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D65DBBC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-135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37AB955D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-21,0%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4C8DD100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-610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7797BA06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-413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2C86DE5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47,9%</w:t>
            </w:r>
          </w:p>
        </w:tc>
      </w:tr>
      <w:tr w:rsidR="00AE5116" w:rsidRPr="000A7267" w14:paraId="183CBD0E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02BA6300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Операционные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74B305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-373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F048D40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-308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CABB734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21,4%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A00F66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-1 237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17B76CC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-1 062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0889598A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16,5%</w:t>
            </w:r>
          </w:p>
        </w:tc>
      </w:tr>
      <w:tr w:rsidR="00AE5116" w:rsidRPr="000A7267" w14:paraId="3E24B20E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D2D8538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Прибыль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до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налогообложения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065CABF6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537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C3D9E29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443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2E961A9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21,3%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5E547745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2 250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9707AF7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2 034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B2A3AF6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10,6%</w:t>
            </w:r>
          </w:p>
        </w:tc>
      </w:tr>
      <w:tr w:rsidR="00AE5116" w:rsidRPr="000A7267" w14:paraId="033DA73B" w14:textId="77777777" w:rsidTr="007977B8">
        <w:trPr>
          <w:trHeight w:val="220"/>
        </w:trPr>
        <w:tc>
          <w:tcPr>
            <w:tcW w:w="3493" w:type="dxa"/>
            <w:tcBorders>
              <w:top w:val="single" w:sz="4" w:space="0" w:color="778E9F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20CF8FE4" w14:textId="77777777" w:rsidR="00AE5116" w:rsidRPr="00862944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</w:pPr>
            <w:r w:rsidRPr="00862944"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  <w:t>Чистая</w:t>
            </w:r>
            <w:r w:rsidRPr="00862944"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  <w:t xml:space="preserve"> </w:t>
            </w:r>
            <w:r w:rsidRPr="00862944"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  <w:t>прибыль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CFD845" w14:textId="77777777" w:rsidR="00AE5116" w:rsidRPr="00862944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b/>
                <w:sz w:val="16"/>
                <w:szCs w:val="16"/>
              </w:rPr>
            </w:pPr>
            <w:r w:rsidRPr="00862944">
              <w:rPr>
                <w:rFonts w:ascii="SB Sans Text" w:hAnsi="SB Sans Text" w:cs="SB Sans Text"/>
                <w:b/>
                <w:sz w:val="16"/>
                <w:szCs w:val="16"/>
              </w:rPr>
              <w:t>398,6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1A8C2FC" w14:textId="77777777" w:rsidR="00AE5116" w:rsidRPr="00862944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b/>
                <w:sz w:val="16"/>
                <w:szCs w:val="16"/>
              </w:rPr>
            </w:pPr>
            <w:r w:rsidRPr="00862944">
              <w:rPr>
                <w:rFonts w:ascii="SB Sans Text" w:hAnsi="SB Sans Text" w:cs="SB Sans Text"/>
                <w:b/>
                <w:sz w:val="16"/>
                <w:szCs w:val="16"/>
              </w:rPr>
              <w:t>353,1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24CF0F2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b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b/>
                <w:i/>
                <w:sz w:val="16"/>
                <w:szCs w:val="16"/>
              </w:rPr>
              <w:t>12,9%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C464FB" w14:textId="77777777" w:rsidR="00AE5116" w:rsidRPr="00862944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b/>
                <w:sz w:val="16"/>
                <w:szCs w:val="16"/>
              </w:rPr>
            </w:pPr>
            <w:r w:rsidRPr="00862944">
              <w:rPr>
                <w:rFonts w:ascii="SB Sans Text" w:hAnsi="SB Sans Text" w:cs="SB Sans Text"/>
                <w:b/>
                <w:sz w:val="16"/>
                <w:szCs w:val="16"/>
              </w:rPr>
              <w:t>1 705,9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562CEB1" w14:textId="77777777" w:rsidR="00AE5116" w:rsidRPr="00862944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b/>
                <w:sz w:val="16"/>
                <w:szCs w:val="16"/>
              </w:rPr>
            </w:pPr>
            <w:r w:rsidRPr="00862944">
              <w:rPr>
                <w:rFonts w:ascii="SB Sans Text" w:hAnsi="SB Sans Text" w:cs="SB Sans Text"/>
                <w:b/>
                <w:sz w:val="16"/>
                <w:szCs w:val="16"/>
              </w:rPr>
              <w:t>1 580,3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4AA05084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b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b/>
                <w:i/>
                <w:sz w:val="16"/>
                <w:szCs w:val="16"/>
              </w:rPr>
              <w:t>7,9%</w:t>
            </w:r>
          </w:p>
        </w:tc>
      </w:tr>
      <w:tr w:rsidR="00AE5116" w:rsidRPr="000A7267" w14:paraId="097F44F9" w14:textId="77777777" w:rsidTr="007977B8">
        <w:trPr>
          <w:trHeight w:val="220"/>
        </w:trPr>
        <w:tc>
          <w:tcPr>
            <w:tcW w:w="3493" w:type="dxa"/>
            <w:tcBorders>
              <w:top w:val="single" w:sz="4" w:space="0" w:color="808080" w:themeColor="background1" w:themeShade="80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6F453CA6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Прибыль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/ (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убыток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)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на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обыкновенную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акцию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,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руб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34B1AE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18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69136E7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16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BF41BD4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13,1%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DC5AAB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77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68F5D56" w14:textId="77777777" w:rsidR="00AE5116" w:rsidRPr="00110491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110491">
              <w:rPr>
                <w:rFonts w:ascii="SB Sans Text" w:hAnsi="SB Sans Text" w:cs="SB Sans Text"/>
                <w:sz w:val="16"/>
                <w:szCs w:val="16"/>
              </w:rPr>
              <w:t>72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110491">
              <w:rPr>
                <w:rFonts w:ascii="SB Sans Text" w:hAnsi="SB Sans Text" w:cs="SB Sans Text"/>
                <w:sz w:val="16"/>
                <w:szCs w:val="16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24FC98D1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8,0%</w:t>
            </w:r>
          </w:p>
        </w:tc>
      </w:tr>
      <w:tr w:rsidR="00AE5116" w:rsidRPr="000A7267" w14:paraId="35023917" w14:textId="77777777" w:rsidTr="007977B8">
        <w:trPr>
          <w:trHeight w:val="469"/>
        </w:trPr>
        <w:tc>
          <w:tcPr>
            <w:tcW w:w="4513" w:type="dxa"/>
            <w:gridSpan w:val="2"/>
            <w:tcBorders>
              <w:left w:val="nil"/>
              <w:bottom w:val="single" w:sz="8" w:space="0" w:color="00AC84"/>
              <w:right w:val="nil"/>
            </w:tcBorders>
            <w:vAlign w:val="center"/>
          </w:tcPr>
          <w:p w14:paraId="7285BD06" w14:textId="77777777" w:rsidR="00AE5116" w:rsidRPr="00906A9C" w:rsidRDefault="00AE5116" w:rsidP="007977B8">
            <w:pPr>
              <w:spacing w:after="0" w:line="240" w:lineRule="auto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hAnsi="SB Sans Text" w:cs="SB Sans Display Light"/>
                <w:b/>
                <w:kern w:val="24"/>
                <w:sz w:val="16"/>
                <w:szCs w:val="16"/>
              </w:rPr>
              <w:t>Основные</w:t>
            </w:r>
            <w:r w:rsidRPr="00906A9C">
              <w:rPr>
                <w:rFonts w:hAnsi="SB Sans Text" w:cs="SB Sans Display Light"/>
                <w:b/>
                <w:kern w:val="24"/>
                <w:sz w:val="16"/>
                <w:szCs w:val="16"/>
              </w:rPr>
              <w:t xml:space="preserve"> </w:t>
            </w:r>
            <w:r w:rsidRPr="00906A9C">
              <w:rPr>
                <w:rFonts w:hAnsi="SB Sans Text" w:cs="SB Sans Display Light"/>
                <w:b/>
                <w:kern w:val="24"/>
                <w:sz w:val="16"/>
                <w:szCs w:val="16"/>
              </w:rPr>
              <w:t>финансовые</w:t>
            </w:r>
            <w:r w:rsidRPr="00906A9C">
              <w:rPr>
                <w:rFonts w:hAnsi="SB Sans Text" w:cs="SB Sans Display Light"/>
                <w:b/>
                <w:kern w:val="24"/>
                <w:sz w:val="16"/>
                <w:szCs w:val="16"/>
              </w:rPr>
              <w:t xml:space="preserve"> </w:t>
            </w:r>
            <w:r w:rsidRPr="00906A9C">
              <w:rPr>
                <w:rFonts w:hAnsi="SB Sans Text" w:cs="SB Sans Display Light"/>
                <w:b/>
                <w:kern w:val="24"/>
                <w:sz w:val="16"/>
                <w:szCs w:val="16"/>
              </w:rPr>
              <w:t>коэффициенты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194B5" w14:textId="77777777" w:rsidR="00AE5116" w:rsidRPr="00906A9C" w:rsidRDefault="00AE5116" w:rsidP="007977B8">
            <w:pPr>
              <w:rPr>
                <w:rFonts w:ascii="Calibri" w:hAnsi="Calibri" w:cs="Times New Roman"/>
                <w:color w:val="000000"/>
              </w:rPr>
            </w:pPr>
            <w:r w:rsidRPr="00906A9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28B18" w14:textId="77777777" w:rsidR="00AE5116" w:rsidRPr="00317A97" w:rsidRDefault="00AE5116" w:rsidP="007977B8">
            <w:pPr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ED90F" w14:textId="77777777" w:rsidR="00AE5116" w:rsidRPr="00906A9C" w:rsidRDefault="00AE5116" w:rsidP="007977B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9D6EA" w14:textId="77777777" w:rsidR="00AE5116" w:rsidRPr="00906A9C" w:rsidRDefault="00AE5116" w:rsidP="007977B8">
            <w:pPr>
              <w:rPr>
                <w:rFonts w:ascii="Calibri" w:hAnsi="Calibri"/>
                <w:color w:val="000000"/>
              </w:rPr>
            </w:pPr>
            <w:r w:rsidRPr="00906A9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686E9" w14:textId="77777777" w:rsidR="00AE5116" w:rsidRPr="00317A97" w:rsidRDefault="00AE5116" w:rsidP="007977B8">
            <w:pPr>
              <w:rPr>
                <w:rFonts w:ascii="Calibri" w:hAnsi="Calibri"/>
                <w:i/>
                <w:color w:val="000000"/>
              </w:rPr>
            </w:pPr>
          </w:p>
        </w:tc>
      </w:tr>
      <w:tr w:rsidR="00AE5116" w:rsidRPr="000A7267" w14:paraId="4051CB46" w14:textId="77777777" w:rsidTr="007977B8">
        <w:trPr>
          <w:trHeight w:val="228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3154F3C9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Рентабельность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капитала</w:t>
            </w:r>
            <w:r w:rsidRPr="003A1658">
              <w:rPr>
                <w:rFonts w:ascii="SB Sans Display" w:eastAsiaTheme="minorHAnsi" w:hAnsi="SB Sans Display" w:cs="SB Sans Display"/>
                <w:sz w:val="18"/>
                <w:szCs w:val="18"/>
                <w:vertAlign w:val="superscript"/>
                <w:lang w:eastAsia="en-US"/>
              </w:rPr>
              <w:t>3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31923FD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19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9%</w:t>
            </w:r>
          </w:p>
        </w:tc>
        <w:tc>
          <w:tcPr>
            <w:tcW w:w="1008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16865CB5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6%</w:t>
            </w:r>
          </w:p>
        </w:tc>
        <w:tc>
          <w:tcPr>
            <w:tcW w:w="1195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3B9F3D48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-0,7пп</w:t>
            </w:r>
          </w:p>
        </w:tc>
        <w:tc>
          <w:tcPr>
            <w:tcW w:w="1097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FECF77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7%</w:t>
            </w:r>
          </w:p>
        </w:tc>
        <w:tc>
          <w:tcPr>
            <w:tcW w:w="1097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vAlign w:val="center"/>
          </w:tcPr>
          <w:p w14:paraId="586A000A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24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0%</w:t>
            </w:r>
          </w:p>
        </w:tc>
        <w:tc>
          <w:tcPr>
            <w:tcW w:w="1155" w:type="dxa"/>
            <w:tcBorders>
              <w:top w:val="single" w:sz="8" w:space="0" w:color="00AC84"/>
              <w:left w:val="nil"/>
              <w:bottom w:val="single" w:sz="4" w:space="0" w:color="778E9F"/>
              <w:right w:val="nil"/>
            </w:tcBorders>
            <w:noWrap/>
            <w:vAlign w:val="center"/>
          </w:tcPr>
          <w:p w14:paraId="75906A7A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 xml:space="preserve">-1,3 </w:t>
            </w:r>
            <w:proofErr w:type="spellStart"/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пп</w:t>
            </w:r>
            <w:proofErr w:type="spellEnd"/>
          </w:p>
        </w:tc>
      </w:tr>
      <w:tr w:rsidR="00AE5116" w:rsidRPr="000A7267" w14:paraId="33E94F08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1CF00723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757BC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Рентабельность</w:t>
            </w:r>
            <w:r w:rsidRPr="005757BC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757BC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активов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3F4E80DD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4%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41B26C23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3%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74EB49FC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0,03пп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01824F7F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7%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7F3073DB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2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8%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00D985A9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 xml:space="preserve">-0,1 </w:t>
            </w:r>
            <w:proofErr w:type="spellStart"/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пп</w:t>
            </w:r>
            <w:proofErr w:type="spellEnd"/>
          </w:p>
        </w:tc>
      </w:tr>
      <w:tr w:rsidR="00AE5116" w:rsidRPr="000A7267" w14:paraId="18E8C6CB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1889A6F3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Чистая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процентная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маржа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73D66A5D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6</w:t>
            </w:r>
            <w:r>
              <w:rPr>
                <w:rFonts w:ascii="SB Sans Text" w:hAnsi="SB Sans Text" w:cs="SB Sans Text"/>
                <w:sz w:val="16"/>
                <w:szCs w:val="16"/>
              </w:rPr>
              <w:t>,5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03BB6F2F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6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48A4FD78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0,5пп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7C9CC28D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6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2%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4E092E3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5</w:t>
            </w:r>
            <w:r>
              <w:rPr>
                <w:rFonts w:ascii="SB Sans Text" w:hAnsi="SB Sans Text" w:cs="SB Sans Text"/>
                <w:sz w:val="16"/>
                <w:szCs w:val="16"/>
              </w:rPr>
              <w:t>,9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66FC516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 xml:space="preserve">0,3 </w:t>
            </w:r>
            <w:proofErr w:type="spellStart"/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пп</w:t>
            </w:r>
            <w:proofErr w:type="spellEnd"/>
          </w:p>
        </w:tc>
      </w:tr>
      <w:tr w:rsidR="00AE5116" w:rsidRPr="000A7267" w14:paraId="1301AB52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351F1F81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Стоимость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риска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(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кредиты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по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амортизированной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и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справедливой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стоимости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060875D4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9%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0D9CF0F4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1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2%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8D47730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-0,3пп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69ED4F44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1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3%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5006D3F2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1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30FDC880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 xml:space="preserve">0,3 </w:t>
            </w:r>
            <w:proofErr w:type="spellStart"/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пп</w:t>
            </w:r>
            <w:proofErr w:type="spellEnd"/>
          </w:p>
        </w:tc>
      </w:tr>
      <w:tr w:rsidR="00AE5116" w:rsidRPr="000A7267" w14:paraId="34195894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  <w:hideMark/>
          </w:tcPr>
          <w:p w14:paraId="421633F1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Отношение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операционных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расходов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br/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операционным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доходам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68D38581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37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5B5A7B8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34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9%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74EFE900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2,1пп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32CA96D1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30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3%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108A678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30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63E71B90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sz w:val="16"/>
                <w:szCs w:val="16"/>
              </w:rPr>
              <w:t>--</w:t>
            </w:r>
          </w:p>
        </w:tc>
      </w:tr>
      <w:tr w:rsidR="00AE5116" w:rsidRPr="000A7267" w14:paraId="4DE2ABF5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4B67E382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  <w:t>Балансовые</w:t>
            </w:r>
            <w:r w:rsidRPr="005B5A3D"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  <w:t>показатели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6B8FBF7A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04B18F94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ADDD597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1B57DDDF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>
              <w:rPr>
                <w:rFonts w:ascii="SB Sans Text" w:hAnsi="SB Sans Text" w:cs="SB Sans Text"/>
                <w:sz w:val="16"/>
                <w:szCs w:val="16"/>
              </w:rPr>
              <w:t>31.12</w:t>
            </w:r>
            <w:r w:rsidRPr="000A7267">
              <w:rPr>
                <w:rFonts w:ascii="SB Sans Text" w:hAnsi="SB Sans Text" w:cs="SB Sans Text"/>
                <w:sz w:val="16"/>
                <w:szCs w:val="16"/>
              </w:rPr>
              <w:t>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000000" w:fill="FFFFFF"/>
            <w:vAlign w:val="center"/>
          </w:tcPr>
          <w:p w14:paraId="14E76997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0A7267">
              <w:rPr>
                <w:rFonts w:ascii="SB Sans Text" w:hAnsi="SB Sans Text" w:cs="SB Sans Text"/>
                <w:sz w:val="16"/>
                <w:szCs w:val="16"/>
              </w:rPr>
              <w:t>31.12.2024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000000" w:fill="FFFFFF"/>
            <w:vAlign w:val="center"/>
          </w:tcPr>
          <w:p w14:paraId="0CCA7477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 xml:space="preserve">изменение </w:t>
            </w: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br/>
              <w:t>с начала года</w:t>
            </w:r>
          </w:p>
        </w:tc>
      </w:tr>
      <w:tr w:rsidR="00AE5116" w:rsidRPr="000A7267" w14:paraId="2DA10026" w14:textId="77777777" w:rsidTr="007977B8">
        <w:trPr>
          <w:trHeight w:val="408"/>
        </w:trPr>
        <w:tc>
          <w:tcPr>
            <w:tcW w:w="3493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0BEBAEB9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b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Отношение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чистых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кредитов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депозитам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6B9AA514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26BBE11C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778E9F"/>
              <w:right w:val="nil"/>
            </w:tcBorders>
            <w:vAlign w:val="center"/>
          </w:tcPr>
          <w:p w14:paraId="10B7B7C8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778E9F"/>
              <w:left w:val="nil"/>
              <w:bottom w:val="single" w:sz="4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73122781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97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2%</w:t>
            </w:r>
          </w:p>
        </w:tc>
        <w:tc>
          <w:tcPr>
            <w:tcW w:w="1097" w:type="dxa"/>
            <w:tcBorders>
              <w:top w:val="single" w:sz="4" w:space="0" w:color="778E9F"/>
              <w:left w:val="nil"/>
              <w:bottom w:val="single" w:sz="4" w:space="0" w:color="778E9F"/>
              <w:right w:val="nil"/>
            </w:tcBorders>
            <w:vAlign w:val="center"/>
          </w:tcPr>
          <w:p w14:paraId="1A827461" w14:textId="2E5A2948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98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="0060148E">
              <w:rPr>
                <w:rFonts w:ascii="SB Sans Text" w:hAnsi="SB Sans Text" w:cs="SB Sans Text"/>
                <w:sz w:val="16"/>
                <w:szCs w:val="16"/>
              </w:rPr>
              <w:t>2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%</w:t>
            </w:r>
          </w:p>
        </w:tc>
        <w:tc>
          <w:tcPr>
            <w:tcW w:w="1155" w:type="dxa"/>
            <w:tcBorders>
              <w:top w:val="single" w:sz="4" w:space="0" w:color="778E9F"/>
              <w:left w:val="nil"/>
              <w:bottom w:val="single" w:sz="4" w:space="0" w:color="778E9F"/>
              <w:right w:val="nil"/>
            </w:tcBorders>
            <w:vAlign w:val="center"/>
          </w:tcPr>
          <w:p w14:paraId="19B7721A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  <w:lang w:val="en-US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 xml:space="preserve">-1,1 </w:t>
            </w:r>
            <w:proofErr w:type="spellStart"/>
            <w:r w:rsidRPr="00317A97">
              <w:rPr>
                <w:rFonts w:ascii="SB Sans Text" w:hAnsi="SB Sans Text" w:cs="SB Sans Text"/>
                <w:i/>
                <w:sz w:val="16"/>
                <w:szCs w:val="16"/>
                <w:lang w:val="en-US"/>
              </w:rPr>
              <w:t>пп</w:t>
            </w:r>
            <w:proofErr w:type="spellEnd"/>
          </w:p>
        </w:tc>
      </w:tr>
      <w:tr w:rsidR="00AE5116" w:rsidRPr="000A7267" w14:paraId="4BD480C2" w14:textId="77777777" w:rsidTr="007977B8">
        <w:trPr>
          <w:trHeight w:val="220"/>
        </w:trPr>
        <w:tc>
          <w:tcPr>
            <w:tcW w:w="3493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148F8E32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Балансовая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стоимость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на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акцию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, 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руб</w:t>
            </w:r>
            <w:r w:rsidRPr="005B5A3D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.</w:t>
            </w:r>
            <w:r w:rsidRPr="0009657E">
              <w:rPr>
                <w:rFonts w:ascii="SB Sans Display" w:eastAsiaTheme="minorHAnsi" w:hAnsi="SB Sans Display" w:cs="SB Sans Display"/>
                <w:sz w:val="18"/>
                <w:szCs w:val="18"/>
                <w:vertAlign w:val="superscript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</w:tcPr>
          <w:p w14:paraId="624EC637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031712B6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273584B8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2F2F2" w:themeFill="background1" w:themeFillShade="F2"/>
            <w:vAlign w:val="center"/>
          </w:tcPr>
          <w:p w14:paraId="4B314DF4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369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B050"/>
              <w:right w:val="nil"/>
            </w:tcBorders>
            <w:vAlign w:val="center"/>
          </w:tcPr>
          <w:p w14:paraId="3D886295" w14:textId="77777777" w:rsidR="00AE5116" w:rsidRPr="00906A9C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  <w:r w:rsidRPr="00906A9C">
              <w:rPr>
                <w:rFonts w:ascii="SB Sans Text" w:hAnsi="SB Sans Text" w:cs="SB Sans Text"/>
                <w:sz w:val="16"/>
                <w:szCs w:val="16"/>
              </w:rPr>
              <w:t>317</w:t>
            </w:r>
            <w:r>
              <w:rPr>
                <w:rFonts w:ascii="SB Sans Text" w:hAnsi="SB Sans Text" w:cs="SB Sans Text"/>
                <w:sz w:val="16"/>
                <w:szCs w:val="16"/>
              </w:rPr>
              <w:t>,</w:t>
            </w:r>
            <w:r w:rsidRPr="00906A9C">
              <w:rPr>
                <w:rFonts w:ascii="SB Sans Text" w:hAnsi="SB Sans Text" w:cs="SB Sans Text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B050"/>
              <w:right w:val="nil"/>
            </w:tcBorders>
            <w:vAlign w:val="center"/>
          </w:tcPr>
          <w:p w14:paraId="343AB8E9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  <w:r w:rsidRPr="00317A97">
              <w:rPr>
                <w:rFonts w:ascii="SB Sans Text" w:hAnsi="SB Sans Text" w:cs="SB Sans Text"/>
                <w:i/>
                <w:sz w:val="16"/>
                <w:szCs w:val="16"/>
              </w:rPr>
              <w:t>16,4%</w:t>
            </w:r>
          </w:p>
        </w:tc>
      </w:tr>
      <w:tr w:rsidR="00AE5116" w:rsidRPr="000A7267" w14:paraId="2934674F" w14:textId="77777777" w:rsidTr="007977B8">
        <w:trPr>
          <w:trHeight w:val="228"/>
        </w:trPr>
        <w:tc>
          <w:tcPr>
            <w:tcW w:w="3493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325C8292" w14:textId="77777777" w:rsidR="00AE5116" w:rsidRPr="005B5A3D" w:rsidRDefault="00AE5116" w:rsidP="007977B8">
            <w:pPr>
              <w:pStyle w:val="a8"/>
              <w:spacing w:before="0" w:beforeAutospacing="0" w:after="0" w:afterAutospacing="0" w:line="276" w:lineRule="auto"/>
              <w:rPr>
                <w:rFonts w:asciiTheme="minorHAnsi" w:hAnsi="SB Sans Text" w:cs="SB Sans Display Light"/>
                <w:kern w:val="24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</w:tcPr>
          <w:p w14:paraId="2209EAB1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717D3EFF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6CE6AD67" w14:textId="77777777" w:rsidR="00AE5116" w:rsidRPr="00317A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00B050"/>
              <w:left w:val="nil"/>
              <w:bottom w:val="single" w:sz="8" w:space="0" w:color="00B050"/>
              <w:right w:val="nil"/>
            </w:tcBorders>
            <w:shd w:val="clear" w:color="auto" w:fill="F2F2F2" w:themeFill="background1" w:themeFillShade="F2"/>
            <w:vAlign w:val="center"/>
          </w:tcPr>
          <w:p w14:paraId="6897307E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00B050"/>
              <w:left w:val="nil"/>
              <w:bottom w:val="single" w:sz="8" w:space="0" w:color="00B050"/>
              <w:right w:val="nil"/>
            </w:tcBorders>
            <w:vAlign w:val="center"/>
          </w:tcPr>
          <w:p w14:paraId="0B2C3728" w14:textId="77777777" w:rsidR="00AE5116" w:rsidRPr="000A726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8" w:space="0" w:color="00B050"/>
              <w:left w:val="nil"/>
              <w:bottom w:val="single" w:sz="8" w:space="0" w:color="00B050"/>
              <w:right w:val="nil"/>
            </w:tcBorders>
            <w:vAlign w:val="center"/>
          </w:tcPr>
          <w:p w14:paraId="3A4CA3CB" w14:textId="77777777" w:rsidR="00AE5116" w:rsidRPr="00C40F97" w:rsidRDefault="00AE5116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sz w:val="16"/>
                <w:szCs w:val="16"/>
              </w:rPr>
            </w:pPr>
          </w:p>
        </w:tc>
      </w:tr>
    </w:tbl>
    <w:p w14:paraId="6727EE9C" w14:textId="77777777" w:rsidR="00AE5116" w:rsidRDefault="00AE5116" w:rsidP="00B4762F">
      <w:pPr>
        <w:spacing w:before="480" w:after="120" w:line="240" w:lineRule="auto"/>
        <w:ind w:right="57"/>
        <w:contextualSpacing/>
        <w:jc w:val="both"/>
        <w:rPr>
          <w:rFonts w:ascii="Arial" w:eastAsia="+mn-ea" w:hAnsi="Arial" w:cs="Arial"/>
          <w:color w:val="333F48"/>
          <w:kern w:val="24"/>
          <w:sz w:val="18"/>
          <w:szCs w:val="18"/>
        </w:rPr>
      </w:pPr>
    </w:p>
    <w:p w14:paraId="631ED4F9" w14:textId="77777777" w:rsidR="00EF46FC" w:rsidRPr="00EF46FC" w:rsidRDefault="00EF46FC" w:rsidP="000A5001">
      <w:pPr>
        <w:spacing w:before="480" w:after="12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1D601"/>
          <w:sz w:val="18"/>
          <w:szCs w:val="24"/>
          <w:lang w:eastAsia="ru-RU"/>
        </w:rPr>
      </w:pPr>
    </w:p>
    <w:p w14:paraId="30DD47D9" w14:textId="77777777" w:rsidR="00EB283F" w:rsidRDefault="00EB283F" w:rsidP="009A4A16">
      <w:pPr>
        <w:numPr>
          <w:ilvl w:val="0"/>
          <w:numId w:val="3"/>
        </w:numPr>
        <w:spacing w:before="480" w:after="120" w:line="240" w:lineRule="auto"/>
        <w:ind w:left="426" w:right="57"/>
        <w:contextualSpacing/>
        <w:jc w:val="both"/>
        <w:rPr>
          <w:rFonts w:ascii="SB Sans Display" w:eastAsia="+mn-ea" w:hAnsi="SB Sans Display" w:cs="+mn-cs"/>
          <w:b/>
          <w:bCs/>
          <w:color w:val="000000"/>
          <w:kern w:val="24"/>
          <w:sz w:val="18"/>
          <w:szCs w:val="18"/>
          <w:lang w:eastAsia="ru-RU"/>
        </w:rPr>
        <w:sectPr w:rsidR="00EB283F" w:rsidSect="009B370D">
          <w:footerReference w:type="default" r:id="rId12"/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341A1F2F" w14:textId="2CC7C44C" w:rsidR="00EB283F" w:rsidRPr="00905DCA" w:rsidRDefault="00905DCA" w:rsidP="00B131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DCA">
        <w:rPr>
          <w:rFonts w:ascii="Arial" w:eastAsia="+mn-ea" w:hAnsi="Arial" w:cs="Arial"/>
          <w:b/>
          <w:bCs/>
          <w:kern w:val="24"/>
          <w:sz w:val="24"/>
          <w:szCs w:val="24"/>
        </w:rPr>
        <w:t>Чистые процентные доходы</w:t>
      </w:r>
      <w:r w:rsidRPr="00905DCA">
        <w:rPr>
          <w:rFonts w:ascii="Arial" w:eastAsia="+mn-ea" w:hAnsi="Arial" w:cs="Arial"/>
          <w:kern w:val="24"/>
          <w:sz w:val="24"/>
          <w:szCs w:val="24"/>
        </w:rPr>
        <w:t xml:space="preserve"> увеличились в 4 квартале 2025 г. на 19,9% г/г до 988,2 млрд руб. За 12М 2025 г. чистые процентные доходы выросли на 18,5% г/г на фоне роста объема и доходности работающих активов до 3 556,0 млрд руб.</w:t>
      </w:r>
    </w:p>
    <w:p w14:paraId="692B0F42" w14:textId="42E3CD6C" w:rsidR="00EB283F" w:rsidRPr="005A187D" w:rsidRDefault="00905DCA" w:rsidP="00B131C8">
      <w:pPr>
        <w:numPr>
          <w:ilvl w:val="0"/>
          <w:numId w:val="5"/>
        </w:numPr>
        <w:spacing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05DCA">
        <w:rPr>
          <w:rFonts w:ascii="Arial" w:eastAsia="+mn-ea" w:hAnsi="Arial" w:cs="Arial"/>
          <w:kern w:val="24"/>
          <w:sz w:val="24"/>
          <w:szCs w:val="24"/>
        </w:rPr>
        <w:t xml:space="preserve">Чистая процентная маржа выросла до 6,46% в 4 квартале 2025 г. (+0,3 </w:t>
      </w:r>
      <w:proofErr w:type="spellStart"/>
      <w:r w:rsidRPr="00905DCA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905DCA">
        <w:rPr>
          <w:rFonts w:ascii="Arial" w:eastAsia="+mn-ea" w:hAnsi="Arial" w:cs="Arial"/>
          <w:kern w:val="24"/>
          <w:sz w:val="24"/>
          <w:szCs w:val="24"/>
        </w:rPr>
        <w:t xml:space="preserve"> за квартал) и составила 6,2% по итогам года.</w:t>
      </w:r>
    </w:p>
    <w:p w14:paraId="33F5583B" w14:textId="77777777" w:rsidR="00F06319" w:rsidRPr="005A187D" w:rsidRDefault="00F06319" w:rsidP="00F06319">
      <w:pPr>
        <w:spacing w:line="273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6468F92" w14:textId="2266356B" w:rsidR="00EB283F" w:rsidRPr="00AB0156" w:rsidRDefault="00AB0156" w:rsidP="00B131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156">
        <w:rPr>
          <w:rFonts w:ascii="Arial" w:eastAsia="+mn-ea" w:hAnsi="Arial" w:cs="Arial"/>
          <w:b/>
          <w:bCs/>
          <w:kern w:val="24"/>
          <w:sz w:val="24"/>
          <w:szCs w:val="24"/>
        </w:rPr>
        <w:t>Чистые комиссионные доходы</w:t>
      </w:r>
      <w:r w:rsidRPr="00AB0156">
        <w:rPr>
          <w:rFonts w:ascii="Arial" w:eastAsia="+mn-ea" w:hAnsi="Arial" w:cs="Arial"/>
          <w:kern w:val="24"/>
          <w:sz w:val="24"/>
          <w:szCs w:val="24"/>
        </w:rPr>
        <w:t xml:space="preserve"> за 12М 2025 г. снизились на 1,1% г/г до 833,7 млрд руб. На динамику комиссионных доходов в 4 квартале продолжила оказывать влияние высокая база прошлого года, обусловленная единовременным признанием доходов по корпоративным клиентам.</w:t>
      </w:r>
    </w:p>
    <w:p w14:paraId="3BFEC076" w14:textId="12C69579" w:rsidR="00EB283F" w:rsidRPr="005A187D" w:rsidRDefault="00AB0156" w:rsidP="00B131C8">
      <w:pPr>
        <w:numPr>
          <w:ilvl w:val="0"/>
          <w:numId w:val="5"/>
        </w:numPr>
        <w:spacing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156">
        <w:rPr>
          <w:rFonts w:ascii="Arial" w:eastAsia="+mn-ea" w:hAnsi="Arial" w:cs="Arial"/>
          <w:kern w:val="24"/>
          <w:sz w:val="24"/>
          <w:szCs w:val="24"/>
        </w:rPr>
        <w:t xml:space="preserve">Парк новых POS-терминалов </w:t>
      </w:r>
      <w:proofErr w:type="spellStart"/>
      <w:r w:rsidRPr="00AB0156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AB0156">
        <w:rPr>
          <w:rFonts w:ascii="Arial" w:eastAsia="+mn-ea" w:hAnsi="Arial" w:cs="Arial"/>
          <w:kern w:val="24"/>
          <w:sz w:val="24"/>
          <w:szCs w:val="24"/>
        </w:rPr>
        <w:t>, поддерживающих все передовые методы оплаты, достиг 1,5 млн устройств.</w:t>
      </w:r>
    </w:p>
    <w:p w14:paraId="372A4257" w14:textId="0DBA2A1F" w:rsidR="00EB283F" w:rsidRPr="00AB0156" w:rsidRDefault="00AB0156" w:rsidP="00B131C8">
      <w:pPr>
        <w:numPr>
          <w:ilvl w:val="0"/>
          <w:numId w:val="5"/>
        </w:numPr>
        <w:spacing w:after="12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156">
        <w:rPr>
          <w:rFonts w:ascii="Arial" w:eastAsia="+mn-ea" w:hAnsi="Arial" w:cs="Arial"/>
          <w:kern w:val="24"/>
          <w:sz w:val="24"/>
          <w:szCs w:val="24"/>
        </w:rPr>
        <w:t>В 4 квартале функциональность терминалов вышла далеко за рамки простого приема платежей: теперь с их помощью можно не только оплатить покупку (включая сервис «Плати частями»), но и отблагодарить за качественный сервис или оценить обслуживание.</w:t>
      </w:r>
    </w:p>
    <w:p w14:paraId="15D3A6D3" w14:textId="3549EE22" w:rsidR="00AB0156" w:rsidRDefault="00AB0156" w:rsidP="00B131C8">
      <w:pPr>
        <w:numPr>
          <w:ilvl w:val="0"/>
          <w:numId w:val="5"/>
        </w:numPr>
        <w:spacing w:after="12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156">
        <w:rPr>
          <w:rFonts w:ascii="Arial" w:eastAsia="Times New Roman" w:hAnsi="Arial" w:cs="Arial"/>
          <w:sz w:val="24"/>
          <w:szCs w:val="24"/>
        </w:rPr>
        <w:t>Объем операций с использованием биометрии по итогам 2025 года составил 188 млн транзакций, превысив 150 млрд рублей. Относительно предыдущего года оборот вырос в 7 раз.</w:t>
      </w:r>
    </w:p>
    <w:p w14:paraId="7FF98F48" w14:textId="12DF8768" w:rsidR="00AB0156" w:rsidRPr="00AB0156" w:rsidRDefault="00AB0156" w:rsidP="00B131C8">
      <w:pPr>
        <w:numPr>
          <w:ilvl w:val="0"/>
          <w:numId w:val="5"/>
        </w:numPr>
        <w:spacing w:after="12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156">
        <w:rPr>
          <w:rFonts w:ascii="Arial" w:eastAsia="Times New Roman" w:hAnsi="Arial" w:cs="Arial"/>
          <w:sz w:val="24"/>
          <w:szCs w:val="24"/>
        </w:rPr>
        <w:t>Технология оплаты «ВЖУХ» вошла в число наиболее динамично развивающихся платежных сервисов банка: в настоящее время ежемесячно совершается около 15 млн транзакций.</w:t>
      </w:r>
    </w:p>
    <w:p w14:paraId="6B3FC46B" w14:textId="77777777" w:rsidR="0082109C" w:rsidRPr="005A187D" w:rsidRDefault="0082109C" w:rsidP="0082109C">
      <w:pPr>
        <w:spacing w:after="0" w:line="274" w:lineRule="auto"/>
        <w:ind w:left="11"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</w:pPr>
    </w:p>
    <w:p w14:paraId="085F1B49" w14:textId="46DAACF0" w:rsidR="00EB283F" w:rsidRPr="00AB0156" w:rsidRDefault="00AB0156" w:rsidP="00B131C8">
      <w:pPr>
        <w:spacing w:before="120" w:line="240" w:lineRule="auto"/>
        <w:ind w:left="11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AB0156">
        <w:rPr>
          <w:rFonts w:ascii="Arial" w:eastAsia="+mn-ea" w:hAnsi="Arial" w:cs="Arial"/>
          <w:b/>
          <w:bCs/>
          <w:kern w:val="24"/>
          <w:sz w:val="24"/>
          <w:szCs w:val="24"/>
        </w:rPr>
        <w:t>Операционный доход Группы до резервов</w:t>
      </w:r>
      <w:r w:rsidRPr="00AB0156">
        <w:rPr>
          <w:rFonts w:ascii="Arial" w:eastAsia="+mn-ea" w:hAnsi="Arial" w:cs="Arial"/>
          <w:kern w:val="24"/>
          <w:sz w:val="24"/>
          <w:szCs w:val="24"/>
        </w:rPr>
        <w:t xml:space="preserve"> вырос на 14,4% г/г в 4 квартале 2025 г. до 1</w:t>
      </w:r>
      <w:r w:rsidR="000E17FE" w:rsidRPr="00971A31">
        <w:rPr>
          <w:rFonts w:ascii="Arial" w:eastAsia="+mn-ea" w:hAnsi="Arial" w:cs="Arial"/>
          <w:kern w:val="24"/>
          <w:sz w:val="24"/>
          <w:szCs w:val="24"/>
        </w:rPr>
        <w:t xml:space="preserve"> </w:t>
      </w:r>
      <w:r w:rsidRPr="00AB0156">
        <w:rPr>
          <w:rFonts w:ascii="Arial" w:eastAsia="+mn-ea" w:hAnsi="Arial" w:cs="Arial"/>
          <w:kern w:val="24"/>
          <w:sz w:val="24"/>
          <w:szCs w:val="24"/>
        </w:rPr>
        <w:t>010,3 млрд руб. преимущественно за счет роста чистых процентных доходов. За 12 месяцев 2025 г. операционный доход увеличился на 16,6% г/г до 4 089,0 млрд руб.</w:t>
      </w:r>
    </w:p>
    <w:p w14:paraId="43A66DE6" w14:textId="2AF67BE8" w:rsidR="00EB283F" w:rsidRPr="009F13A3" w:rsidRDefault="009F13A3" w:rsidP="00B131C8">
      <w:pPr>
        <w:spacing w:line="240" w:lineRule="auto"/>
        <w:ind w:left="14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9F13A3">
        <w:rPr>
          <w:rFonts w:ascii="Arial" w:eastAsia="+mn-ea" w:hAnsi="Arial" w:cs="Arial"/>
          <w:b/>
          <w:bCs/>
          <w:kern w:val="24"/>
          <w:sz w:val="24"/>
          <w:szCs w:val="24"/>
        </w:rPr>
        <w:t>Совокупные расходы на резервы и переоценка кредитов, оцениваемых по справедливой стоимости</w:t>
      </w:r>
      <w:r w:rsidRPr="009F13A3">
        <w:rPr>
          <w:rFonts w:ascii="Arial" w:eastAsia="+mn-ea" w:hAnsi="Arial" w:cs="Arial"/>
          <w:kern w:val="24"/>
          <w:sz w:val="24"/>
          <w:szCs w:val="24"/>
        </w:rPr>
        <w:t>, в 4 квартале 2025 г. снизились на 21,0% г/г до 106,9 млрд руб., а за 12 месяцев 2025 г. составили 610,9 млрд руб. (1,5х г/г).</w:t>
      </w:r>
      <w:r w:rsidR="00EB283F" w:rsidRPr="009F13A3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62D2FB1A" w14:textId="665871FC" w:rsidR="00EB283F" w:rsidRPr="00F04627" w:rsidRDefault="00F04627" w:rsidP="00B131C8">
      <w:pPr>
        <w:pStyle w:val="a7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4627">
        <w:rPr>
          <w:rFonts w:ascii="Arial" w:eastAsia="+mn-ea" w:hAnsi="Arial" w:cs="Arial"/>
          <w:b/>
          <w:bCs/>
          <w:kern w:val="24"/>
          <w:sz w:val="24"/>
          <w:szCs w:val="24"/>
        </w:rPr>
        <w:t>Стоимость риска</w:t>
      </w:r>
      <w:r w:rsidRPr="00F04627">
        <w:rPr>
          <w:rFonts w:ascii="Arial" w:eastAsia="+mn-ea" w:hAnsi="Arial" w:cs="Arial"/>
          <w:kern w:val="24"/>
          <w:sz w:val="24"/>
          <w:szCs w:val="24"/>
        </w:rPr>
        <w:t xml:space="preserve"> составила 0,9% в 4 квартале 2025 г. и улучшилась как в розничном, так и корпоративном сегменте. За 12М 2025 г. данный показатель составил 1,3%.</w:t>
      </w:r>
      <w:r w:rsidR="00EB283F" w:rsidRPr="00F04627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52F7F986" w14:textId="677D4784" w:rsidR="00747E74" w:rsidRPr="00702EAE" w:rsidRDefault="00702EAE" w:rsidP="00747E74">
      <w:pPr>
        <w:spacing w:before="120" w:line="240" w:lineRule="auto"/>
        <w:rPr>
          <w:rFonts w:ascii="Arial" w:eastAsia="+mn-ea" w:hAnsi="Arial" w:cs="Arial"/>
          <w:bCs/>
          <w:kern w:val="24"/>
          <w:sz w:val="24"/>
          <w:szCs w:val="24"/>
        </w:rPr>
      </w:pPr>
      <w:r w:rsidRPr="00702EAE">
        <w:rPr>
          <w:rFonts w:ascii="Arial" w:eastAsia="+mn-ea" w:hAnsi="Arial" w:cs="Arial"/>
          <w:b/>
          <w:kern w:val="24"/>
          <w:sz w:val="24"/>
          <w:szCs w:val="24"/>
        </w:rPr>
        <w:t>Операционные расходы</w:t>
      </w:r>
      <w:r w:rsidRPr="00702EAE">
        <w:rPr>
          <w:rFonts w:ascii="Arial" w:eastAsia="+mn-ea" w:hAnsi="Arial" w:cs="Arial"/>
          <w:bCs/>
          <w:kern w:val="24"/>
          <w:sz w:val="24"/>
          <w:szCs w:val="24"/>
        </w:rPr>
        <w:t xml:space="preserve"> Группы выросли на 21,4% г/г в 4 квартале 2025 г. до 373,8 млрд руб. и на 16,5% г/г за 12М 2025 г. до 1 237,4 млрд руб. на фоне роста фонда оплаты труда, амортизации нематериальных активов, что связано с инвестициями в искусственный интеллект, и ростом расходов на маркетинг.</w:t>
      </w:r>
    </w:p>
    <w:p w14:paraId="0E2C64CC" w14:textId="618040E6" w:rsidR="00747E74" w:rsidRPr="00702EAE" w:rsidRDefault="00702EAE" w:rsidP="0082771F">
      <w:pPr>
        <w:numPr>
          <w:ilvl w:val="0"/>
          <w:numId w:val="5"/>
        </w:numPr>
        <w:spacing w:after="120" w:line="240" w:lineRule="auto"/>
        <w:ind w:left="709" w:hanging="425"/>
        <w:contextualSpacing/>
        <w:jc w:val="both"/>
        <w:rPr>
          <w:rFonts w:ascii="Arial" w:eastAsia="+mn-ea" w:hAnsi="Arial" w:cs="Arial"/>
          <w:bCs/>
          <w:kern w:val="24"/>
          <w:sz w:val="24"/>
          <w:szCs w:val="24"/>
        </w:rPr>
      </w:pPr>
      <w:r w:rsidRPr="00702EAE">
        <w:rPr>
          <w:rFonts w:ascii="Arial" w:eastAsia="+mn-ea" w:hAnsi="Arial" w:cs="Arial"/>
          <w:b/>
          <w:kern w:val="24"/>
          <w:sz w:val="24"/>
          <w:szCs w:val="24"/>
        </w:rPr>
        <w:t>Отношение операционных расходов к доходам</w:t>
      </w:r>
      <w:r w:rsidRPr="00702EAE">
        <w:rPr>
          <w:rFonts w:ascii="Arial" w:eastAsia="+mn-ea" w:hAnsi="Arial" w:cs="Arial"/>
          <w:bCs/>
          <w:kern w:val="24"/>
          <w:sz w:val="24"/>
          <w:szCs w:val="24"/>
        </w:rPr>
        <w:t xml:space="preserve"> составило 30,3% за 12М 2025 г. В 4 квартале 2025 г. данный показатель составил 37,0%, что сопоставимо с аналогичным периодом прошлого года.</w:t>
      </w:r>
      <w:r w:rsidR="00747E74" w:rsidRPr="00702EA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</w:p>
    <w:p w14:paraId="582394CA" w14:textId="77777777" w:rsidR="000B4D98" w:rsidRPr="005A187D" w:rsidRDefault="000B4D98" w:rsidP="000B4D98">
      <w:pPr>
        <w:spacing w:after="120" w:line="274" w:lineRule="auto"/>
        <w:ind w:left="709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</w:p>
    <w:p w14:paraId="680FE970" w14:textId="71F49610" w:rsidR="00747E74" w:rsidRPr="005A187D" w:rsidRDefault="00C912CE" w:rsidP="00C912CE">
      <w:pPr>
        <w:spacing w:before="120" w:line="240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C912CE">
        <w:rPr>
          <w:rFonts w:ascii="Arial" w:eastAsia="+mn-ea" w:hAnsi="Arial" w:cs="Arial"/>
          <w:b/>
          <w:bCs/>
          <w:kern w:val="24"/>
          <w:sz w:val="24"/>
          <w:szCs w:val="24"/>
        </w:rPr>
        <w:t>Чистая прибыль</w:t>
      </w:r>
      <w:r w:rsidRPr="00C912CE">
        <w:rPr>
          <w:rFonts w:ascii="Arial" w:eastAsia="+mn-ea" w:hAnsi="Arial" w:cs="Arial"/>
          <w:kern w:val="24"/>
          <w:sz w:val="24"/>
          <w:szCs w:val="24"/>
        </w:rPr>
        <w:t xml:space="preserve"> увеличилась на 7,9% г/г за 12М 2025 г. до 1 705,9 млрд рублей при </w:t>
      </w:r>
      <w:r w:rsidRPr="00C912CE">
        <w:rPr>
          <w:rFonts w:ascii="Arial" w:eastAsia="+mn-ea" w:hAnsi="Arial" w:cs="Arial"/>
          <w:b/>
          <w:bCs/>
          <w:kern w:val="24"/>
          <w:sz w:val="24"/>
          <w:szCs w:val="24"/>
        </w:rPr>
        <w:t>рентабельности капитала</w:t>
      </w:r>
      <w:r w:rsidRPr="00C912CE">
        <w:rPr>
          <w:rFonts w:ascii="Arial" w:eastAsia="+mn-ea" w:hAnsi="Arial" w:cs="Arial"/>
          <w:kern w:val="24"/>
          <w:sz w:val="24"/>
          <w:szCs w:val="24"/>
        </w:rPr>
        <w:t xml:space="preserve"> в 22,7%. В 4 квартале 2025 г. </w:t>
      </w:r>
      <w:proofErr w:type="spellStart"/>
      <w:r w:rsidRPr="00C912CE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C912CE">
        <w:rPr>
          <w:rFonts w:ascii="Arial" w:eastAsia="+mn-ea" w:hAnsi="Arial" w:cs="Arial"/>
          <w:kern w:val="24"/>
          <w:sz w:val="24"/>
          <w:szCs w:val="24"/>
        </w:rPr>
        <w:t xml:space="preserve"> заработал 398,6 млрд руб. чистой прибыли (+12,9% г/г), а рентабельность капитала составила 19,9%.</w:t>
      </w:r>
    </w:p>
    <w:p w14:paraId="457B68A5" w14:textId="77777777" w:rsidR="00885EDC" w:rsidRPr="005A187D" w:rsidRDefault="00885EDC" w:rsidP="009B370D">
      <w:pPr>
        <w:spacing w:before="120" w:line="240" w:lineRule="auto"/>
        <w:rPr>
          <w:rFonts w:ascii="Arial" w:eastAsia="+mn-ea" w:hAnsi="Arial" w:cs="Arial"/>
          <w:kern w:val="24"/>
          <w:sz w:val="24"/>
          <w:szCs w:val="24"/>
        </w:rPr>
      </w:pPr>
    </w:p>
    <w:p w14:paraId="2A6A5E8E" w14:textId="77777777" w:rsidR="00FA3365" w:rsidRPr="005A187D" w:rsidRDefault="00885EDC" w:rsidP="00885EDC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5A187D">
        <w:rPr>
          <w:rFonts w:ascii="Arial" w:eastAsia="+mn-ea" w:hAnsi="Arial" w:cs="Arial"/>
          <w:b/>
          <w:bCs/>
          <w:kern w:val="24"/>
        </w:rPr>
        <w:t>Анализ ключевых сегментов</w:t>
      </w:r>
    </w:p>
    <w:p w14:paraId="4DBA348B" w14:textId="77777777" w:rsidR="00D46F89" w:rsidRPr="005A187D" w:rsidRDefault="00D46F89" w:rsidP="00885EDC">
      <w:pPr>
        <w:pStyle w:val="a8"/>
        <w:spacing w:before="0" w:beforeAutospacing="0" w:after="0" w:afterAutospacing="0"/>
        <w:rPr>
          <w:rFonts w:ascii="Arial" w:hAnsi="Arial" w:cs="Arial"/>
          <w:b/>
          <w:kern w:val="24"/>
        </w:rPr>
      </w:pPr>
    </w:p>
    <w:p w14:paraId="7B7E92DB" w14:textId="77777777" w:rsidR="00885EDC" w:rsidRPr="005A187D" w:rsidRDefault="00885EDC" w:rsidP="00D46F89">
      <w:pPr>
        <w:pStyle w:val="a8"/>
        <w:spacing w:before="0" w:beforeAutospacing="0" w:after="120" w:afterAutospacing="0"/>
        <w:rPr>
          <w:rFonts w:ascii="Arial" w:hAnsi="Arial" w:cs="Arial"/>
          <w:b/>
        </w:rPr>
      </w:pPr>
      <w:r w:rsidRPr="005A187D">
        <w:rPr>
          <w:rFonts w:ascii="Arial" w:hAnsi="Arial" w:cs="Arial"/>
          <w:b/>
          <w:kern w:val="24"/>
        </w:rPr>
        <w:t xml:space="preserve">B2B </w:t>
      </w:r>
    </w:p>
    <w:p w14:paraId="4830D08D" w14:textId="3D88C5D3" w:rsidR="00C0178E" w:rsidRDefault="002A40FB" w:rsidP="000D21C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187D">
        <w:rPr>
          <w:rFonts w:ascii="Arial" w:eastAsia="+mn-ea" w:hAnsi="Arial" w:cs="Arial"/>
          <w:kern w:val="24"/>
          <w:sz w:val="24"/>
          <w:szCs w:val="24"/>
        </w:rPr>
        <w:t>Сегмент «B2B» выстраивает долгосрочные доверительные отношения с корпоративными клиентами, предлагая решения и сервисы</w:t>
      </w:r>
      <w:r w:rsidR="007B0FBD">
        <w:rPr>
          <w:rFonts w:ascii="Arial" w:eastAsia="+mn-ea" w:hAnsi="Arial" w:cs="Arial"/>
          <w:kern w:val="24"/>
          <w:sz w:val="24"/>
          <w:szCs w:val="24"/>
        </w:rPr>
        <w:t xml:space="preserve"> для развития бизнеса</w:t>
      </w:r>
      <w:r w:rsidRPr="005A187D">
        <w:rPr>
          <w:rFonts w:ascii="Arial" w:eastAsia="+mn-ea" w:hAnsi="Arial" w:cs="Arial"/>
          <w:kern w:val="24"/>
          <w:sz w:val="24"/>
          <w:szCs w:val="24"/>
        </w:rPr>
        <w:t xml:space="preserve">.  </w:t>
      </w:r>
    </w:p>
    <w:tbl>
      <w:tblPr>
        <w:tblStyle w:val="a9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1569"/>
        <w:gridCol w:w="1569"/>
        <w:gridCol w:w="1569"/>
        <w:gridCol w:w="1337"/>
        <w:gridCol w:w="1452"/>
      </w:tblGrid>
      <w:tr w:rsidR="00C0178E" w14:paraId="49C9ECFB" w14:textId="77777777" w:rsidTr="007977B8">
        <w:trPr>
          <w:trHeight w:val="522"/>
        </w:trPr>
        <w:tc>
          <w:tcPr>
            <w:tcW w:w="2826" w:type="dxa"/>
            <w:tcBorders>
              <w:top w:val="nil"/>
              <w:bottom w:val="single" w:sz="4" w:space="0" w:color="00AC84"/>
            </w:tcBorders>
            <w:vAlign w:val="center"/>
          </w:tcPr>
          <w:p w14:paraId="2A95EFC4" w14:textId="77777777" w:rsidR="00C0178E" w:rsidRPr="00AC4052" w:rsidRDefault="00C0178E" w:rsidP="007977B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AC4052">
              <w:rPr>
                <w:rFonts w:ascii="SB Sans Text Light" w:hAnsi="SB Sans Text Light" w:cs="SB Sans Text Light"/>
                <w:kern w:val="24"/>
                <w:sz w:val="14"/>
                <w:szCs w:val="14"/>
              </w:rPr>
              <w:t>в млрд руб., если не указано иное</w:t>
            </w:r>
          </w:p>
        </w:tc>
        <w:tc>
          <w:tcPr>
            <w:tcW w:w="1569" w:type="dxa"/>
            <w:tcBorders>
              <w:top w:val="nil"/>
              <w:bottom w:val="single" w:sz="4" w:space="0" w:color="00AC84"/>
            </w:tcBorders>
            <w:shd w:val="clear" w:color="auto" w:fill="F2F2F2" w:themeFill="background1" w:themeFillShade="F2"/>
            <w:vAlign w:val="center"/>
          </w:tcPr>
          <w:p w14:paraId="551BF82F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31.12.2025</w:t>
            </w:r>
          </w:p>
        </w:tc>
        <w:tc>
          <w:tcPr>
            <w:tcW w:w="1569" w:type="dxa"/>
            <w:tcBorders>
              <w:top w:val="nil"/>
              <w:bottom w:val="single" w:sz="4" w:space="0" w:color="00AC84"/>
            </w:tcBorders>
            <w:vAlign w:val="center"/>
          </w:tcPr>
          <w:p w14:paraId="2D0D15F1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30.09.2025</w:t>
            </w:r>
          </w:p>
        </w:tc>
        <w:tc>
          <w:tcPr>
            <w:tcW w:w="1569" w:type="dxa"/>
            <w:tcBorders>
              <w:top w:val="nil"/>
              <w:bottom w:val="single" w:sz="4" w:space="0" w:color="00AC84"/>
            </w:tcBorders>
            <w:vAlign w:val="center"/>
          </w:tcPr>
          <w:p w14:paraId="6A0F837C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31.12.2024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0A14" w14:textId="77777777" w:rsidR="00C0178E" w:rsidRPr="00EE00CC" w:rsidRDefault="00C0178E" w:rsidP="007977B8">
            <w:pPr>
              <w:pStyle w:val="a8"/>
              <w:spacing w:before="0" w:beforeAutospacing="0" w:after="0" w:afterAutospacing="0" w:line="256" w:lineRule="auto"/>
              <w:jc w:val="right"/>
              <w:rPr>
                <w:rFonts w:ascii="SB Sans Text Light" w:hAnsi="SB Sans Text Light" w:cs="SB Sans Text Light"/>
                <w:b/>
                <w:i/>
                <w:color w:val="000000" w:themeColor="text1"/>
                <w:kern w:val="24"/>
                <w:sz w:val="16"/>
                <w:szCs w:val="16"/>
              </w:rPr>
            </w:pPr>
            <w:r w:rsidRPr="00EE00CC">
              <w:rPr>
                <w:rFonts w:ascii="SB Sans Text Light" w:hAnsi="SB Sans Text Light" w:cs="SB Sans Text Light"/>
                <w:b/>
                <w:i/>
                <w:color w:val="000000" w:themeColor="text1"/>
                <w:kern w:val="24"/>
                <w:sz w:val="16"/>
                <w:szCs w:val="16"/>
              </w:rPr>
              <w:t xml:space="preserve">изменение </w:t>
            </w:r>
            <w:r w:rsidRPr="00EE00CC">
              <w:rPr>
                <w:rFonts w:ascii="SB Sans Text Light" w:hAnsi="SB Sans Text Light" w:cs="SB Sans Text Light"/>
                <w:b/>
                <w:i/>
                <w:color w:val="000000" w:themeColor="text1"/>
                <w:kern w:val="24"/>
                <w:sz w:val="16"/>
                <w:szCs w:val="16"/>
              </w:rPr>
              <w:br/>
              <w:t>за квартал</w:t>
            </w:r>
          </w:p>
        </w:tc>
        <w:tc>
          <w:tcPr>
            <w:tcW w:w="1452" w:type="dxa"/>
            <w:tcBorders>
              <w:top w:val="nil"/>
              <w:bottom w:val="single" w:sz="4" w:space="0" w:color="00AC84"/>
            </w:tcBorders>
            <w:vAlign w:val="center"/>
          </w:tcPr>
          <w:p w14:paraId="17739FE6" w14:textId="77777777" w:rsidR="00C0178E" w:rsidRPr="00EE00CC" w:rsidRDefault="00C0178E" w:rsidP="007977B8">
            <w:pPr>
              <w:pStyle w:val="a8"/>
              <w:spacing w:before="0" w:beforeAutospacing="0" w:after="0" w:afterAutospacing="0" w:line="256" w:lineRule="auto"/>
              <w:jc w:val="right"/>
              <w:rPr>
                <w:rFonts w:ascii="SB Sans Text Light" w:hAnsi="SB Sans Text Light" w:cs="SB Sans Text Light"/>
                <w:b/>
                <w:i/>
                <w:color w:val="000000" w:themeColor="text1"/>
                <w:kern w:val="24"/>
                <w:sz w:val="16"/>
                <w:szCs w:val="16"/>
              </w:rPr>
            </w:pPr>
            <w:r w:rsidRPr="00EE00CC">
              <w:rPr>
                <w:rFonts w:ascii="SB Sans Text Light" w:hAnsi="SB Sans Text Light" w:cs="SB Sans Text Light"/>
                <w:b/>
                <w:i/>
                <w:color w:val="000000" w:themeColor="text1"/>
                <w:kern w:val="24"/>
                <w:sz w:val="16"/>
                <w:szCs w:val="16"/>
              </w:rPr>
              <w:t xml:space="preserve">изменение </w:t>
            </w:r>
            <w:r w:rsidRPr="00EE00CC">
              <w:rPr>
                <w:rFonts w:ascii="SB Sans Text Light" w:hAnsi="SB Sans Text Light" w:cs="SB Sans Text Light"/>
                <w:b/>
                <w:i/>
                <w:color w:val="000000" w:themeColor="text1"/>
                <w:kern w:val="24"/>
                <w:sz w:val="16"/>
                <w:szCs w:val="16"/>
              </w:rPr>
              <w:br/>
              <w:t>с начала года</w:t>
            </w:r>
          </w:p>
        </w:tc>
      </w:tr>
      <w:tr w:rsidR="00C0178E" w14:paraId="57602107" w14:textId="77777777" w:rsidTr="007977B8">
        <w:trPr>
          <w:trHeight w:val="550"/>
        </w:trPr>
        <w:tc>
          <w:tcPr>
            <w:tcW w:w="2826" w:type="dxa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62953C63" w14:textId="77777777" w:rsidR="00C0178E" w:rsidRPr="00AC4052" w:rsidRDefault="00C0178E" w:rsidP="007977B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Кредиты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юридическим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лицам</w:t>
            </w:r>
            <w:r>
              <w:rPr>
                <w:rFonts w:asciiTheme="minorHAnsi" w:hAnsi="SB Sans Text" w:cs="SB Sans Display Light"/>
                <w:kern w:val="24"/>
                <w:position w:val="5"/>
                <w:sz w:val="16"/>
                <w:szCs w:val="16"/>
                <w:vertAlign w:val="superscript"/>
              </w:rPr>
              <w:t>6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AC84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3A8EB0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000000"/>
                <w:sz w:val="16"/>
                <w:szCs w:val="16"/>
              </w:rPr>
              <w:t>31 164</w:t>
            </w:r>
          </w:p>
        </w:tc>
        <w:tc>
          <w:tcPr>
            <w:tcW w:w="1569" w:type="dxa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6B80BEEA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29 932</w:t>
            </w:r>
          </w:p>
        </w:tc>
        <w:tc>
          <w:tcPr>
            <w:tcW w:w="1569" w:type="dxa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45291410" w14:textId="77777777" w:rsidR="00C0178E" w:rsidRPr="005239EF" w:rsidRDefault="00C0178E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27 736</w:t>
            </w:r>
          </w:p>
        </w:tc>
        <w:tc>
          <w:tcPr>
            <w:tcW w:w="1337" w:type="dxa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53F389CB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4,1%</w:t>
            </w:r>
          </w:p>
        </w:tc>
        <w:tc>
          <w:tcPr>
            <w:tcW w:w="1452" w:type="dxa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40FA24BC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12,4%</w:t>
            </w:r>
          </w:p>
        </w:tc>
      </w:tr>
      <w:tr w:rsidR="00C0178E" w14:paraId="414BAE18" w14:textId="77777777" w:rsidTr="007977B8">
        <w:trPr>
          <w:trHeight w:val="550"/>
        </w:trPr>
        <w:tc>
          <w:tcPr>
            <w:tcW w:w="28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DFF67E" w14:textId="77777777" w:rsidR="00C0178E" w:rsidRPr="00AC4052" w:rsidRDefault="00C0178E" w:rsidP="007977B8">
            <w:pPr>
              <w:pStyle w:val="a8"/>
              <w:spacing w:before="0" w:beforeAutospacing="0" w:after="0" w:afterAutospacing="0" w:line="276" w:lineRule="auto"/>
              <w:ind w:left="590"/>
              <w:rPr>
                <w:rFonts w:ascii="Arial" w:hAnsi="Arial" w:cs="Arial"/>
                <w:sz w:val="36"/>
                <w:szCs w:val="36"/>
              </w:rPr>
            </w:pP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Коммерческое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кредитование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FFF74C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000000"/>
                <w:sz w:val="16"/>
                <w:szCs w:val="16"/>
              </w:rPr>
              <w:t>17 166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BEE8EF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16 592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FB2039" w14:textId="77777777" w:rsidR="00C0178E" w:rsidRPr="005239EF" w:rsidRDefault="00C0178E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16 370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00FE6E1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3,5%</w:t>
            </w:r>
          </w:p>
        </w:tc>
        <w:tc>
          <w:tcPr>
            <w:tcW w:w="14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18F3BE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4,9%</w:t>
            </w:r>
          </w:p>
        </w:tc>
      </w:tr>
      <w:tr w:rsidR="00C0178E" w14:paraId="037CBD0B" w14:textId="77777777" w:rsidTr="007977B8">
        <w:trPr>
          <w:trHeight w:val="550"/>
        </w:trPr>
        <w:tc>
          <w:tcPr>
            <w:tcW w:w="28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62AFC1" w14:textId="77777777" w:rsidR="00C0178E" w:rsidRPr="00AC4052" w:rsidRDefault="00C0178E" w:rsidP="007977B8">
            <w:pPr>
              <w:pStyle w:val="a8"/>
              <w:spacing w:before="0" w:beforeAutospacing="0" w:after="0" w:afterAutospacing="0" w:line="276" w:lineRule="auto"/>
              <w:ind w:left="590"/>
              <w:rPr>
                <w:rFonts w:ascii="Arial" w:hAnsi="Arial" w:cs="Arial"/>
                <w:sz w:val="36"/>
                <w:szCs w:val="36"/>
              </w:rPr>
            </w:pP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Проектное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финансирование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FD3B34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000000"/>
                <w:sz w:val="16"/>
                <w:szCs w:val="16"/>
              </w:rPr>
              <w:t>13 998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D52DA8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13 340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4551DD" w14:textId="77777777" w:rsidR="00C0178E" w:rsidRPr="005239EF" w:rsidRDefault="00C0178E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11 366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6237DF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4,9%</w:t>
            </w:r>
          </w:p>
        </w:tc>
        <w:tc>
          <w:tcPr>
            <w:tcW w:w="14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061C6A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23,</w:t>
            </w: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%</w:t>
            </w:r>
          </w:p>
        </w:tc>
      </w:tr>
      <w:tr w:rsidR="00C0178E" w14:paraId="22FE4628" w14:textId="77777777" w:rsidTr="007977B8">
        <w:trPr>
          <w:trHeight w:val="550"/>
        </w:trPr>
        <w:tc>
          <w:tcPr>
            <w:tcW w:w="2826" w:type="dxa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636CFAC1" w14:textId="77777777" w:rsidR="00C0178E" w:rsidRPr="00AC4052" w:rsidRDefault="00C0178E" w:rsidP="007977B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Средства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корпоративных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AC4052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клиентов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00AC84"/>
            </w:tcBorders>
            <w:shd w:val="clear" w:color="auto" w:fill="F2F2F2" w:themeFill="background1" w:themeFillShade="F2"/>
            <w:vAlign w:val="center"/>
          </w:tcPr>
          <w:p w14:paraId="66DC9AF3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000000"/>
                <w:sz w:val="16"/>
                <w:szCs w:val="16"/>
              </w:rPr>
              <w:t>15 908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38313824" w14:textId="77777777" w:rsidR="00C0178E" w:rsidRPr="005239EF" w:rsidRDefault="00C0178E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17 556</w:t>
            </w:r>
          </w:p>
        </w:tc>
        <w:tc>
          <w:tcPr>
            <w:tcW w:w="1569" w:type="dxa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53438B14" w14:textId="77777777" w:rsidR="00C0178E" w:rsidRPr="005239EF" w:rsidRDefault="00C0178E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 w:rsidRPr="005239EF"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16 80</w:t>
            </w:r>
            <w:r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  <w:lang w:val="en-US"/>
              </w:rPr>
              <w:t>5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613B5B7A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-9,4%</w:t>
            </w:r>
          </w:p>
        </w:tc>
        <w:tc>
          <w:tcPr>
            <w:tcW w:w="1452" w:type="dxa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3D312FA9" w14:textId="77777777" w:rsidR="00C0178E" w:rsidRDefault="00C0178E" w:rsidP="007977B8">
            <w:pPr>
              <w:jc w:val="right"/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000000"/>
                <w:sz w:val="16"/>
                <w:szCs w:val="16"/>
              </w:rPr>
              <w:t>-5,3%</w:t>
            </w:r>
          </w:p>
        </w:tc>
      </w:tr>
    </w:tbl>
    <w:p w14:paraId="11AC1BDE" w14:textId="33DCFD58" w:rsidR="00C0178E" w:rsidRPr="00C0178E" w:rsidRDefault="00C0178E" w:rsidP="00C0178E">
      <w:pPr>
        <w:spacing w:after="120" w:line="273" w:lineRule="auto"/>
        <w:jc w:val="both"/>
        <w:rPr>
          <w:rFonts w:ascii="Arial" w:eastAsia="Times New Roman" w:hAnsi="Arial" w:cs="Arial"/>
          <w:sz w:val="24"/>
          <w:szCs w:val="24"/>
        </w:rPr>
        <w:sectPr w:rsidR="00C0178E" w:rsidRPr="00C0178E" w:rsidSect="009B370D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657C2793" w14:textId="56586392" w:rsidR="002A40FB" w:rsidRPr="00C0178E" w:rsidRDefault="00C0178E" w:rsidP="00F664DD">
      <w:pPr>
        <w:spacing w:line="240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C0178E">
        <w:rPr>
          <w:rFonts w:ascii="Arial" w:eastAsia="+mn-ea" w:hAnsi="Arial" w:cs="Arial"/>
          <w:b/>
          <w:bCs/>
          <w:kern w:val="24"/>
          <w:sz w:val="24"/>
          <w:szCs w:val="24"/>
        </w:rPr>
        <w:t>Число активных корпоративных клиентов</w:t>
      </w:r>
      <w:r w:rsidRPr="00C0178E">
        <w:rPr>
          <w:rFonts w:ascii="Arial" w:eastAsia="+mn-ea" w:hAnsi="Arial" w:cs="Arial"/>
          <w:kern w:val="24"/>
          <w:sz w:val="24"/>
          <w:szCs w:val="24"/>
        </w:rPr>
        <w:t xml:space="preserve"> увеличилось с начала года на более чем 200 тыс. до 3,5 млн компаний. </w:t>
      </w:r>
      <w:r w:rsidR="002A40FB" w:rsidRPr="00C0178E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67072B56" w14:textId="242CED80" w:rsidR="002A40FB" w:rsidRPr="00A851FF" w:rsidRDefault="00A851FF" w:rsidP="00F664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851FF">
        <w:rPr>
          <w:rFonts w:ascii="Arial" w:eastAsia="+mn-ea" w:hAnsi="Arial" w:cs="Arial"/>
          <w:kern w:val="24"/>
          <w:sz w:val="24"/>
          <w:szCs w:val="24"/>
        </w:rPr>
        <w:t xml:space="preserve">Программой лояльности </w:t>
      </w:r>
      <w:proofErr w:type="spellStart"/>
      <w:r w:rsidRPr="00A851FF">
        <w:rPr>
          <w:rFonts w:ascii="Arial" w:eastAsia="+mn-ea" w:hAnsi="Arial" w:cs="Arial"/>
          <w:kern w:val="24"/>
          <w:sz w:val="24"/>
          <w:szCs w:val="24"/>
        </w:rPr>
        <w:t>СберБизнес</w:t>
      </w:r>
      <w:proofErr w:type="spellEnd"/>
      <w:r w:rsidRPr="00A851FF">
        <w:rPr>
          <w:rFonts w:ascii="Arial" w:eastAsia="+mn-ea" w:hAnsi="Arial" w:cs="Arial"/>
          <w:kern w:val="24"/>
          <w:sz w:val="24"/>
          <w:szCs w:val="24"/>
        </w:rPr>
        <w:t xml:space="preserve"> Спасибо на конец года пользовались почти 1 млн компаний.</w:t>
      </w:r>
    </w:p>
    <w:p w14:paraId="1AAAA99C" w14:textId="025999D1" w:rsidR="00A851FF" w:rsidRDefault="00A851FF" w:rsidP="00F664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851FF">
        <w:rPr>
          <w:rFonts w:ascii="Arial" w:eastAsia="Times New Roman" w:hAnsi="Arial" w:cs="Arial"/>
          <w:sz w:val="24"/>
          <w:szCs w:val="24"/>
        </w:rPr>
        <w:t xml:space="preserve">В 2025 году </w:t>
      </w:r>
      <w:proofErr w:type="spellStart"/>
      <w:r w:rsidRPr="00A851FF">
        <w:rPr>
          <w:rFonts w:ascii="Arial" w:eastAsia="Times New Roman" w:hAnsi="Arial" w:cs="Arial"/>
          <w:sz w:val="24"/>
          <w:szCs w:val="24"/>
        </w:rPr>
        <w:t>Сбер</w:t>
      </w:r>
      <w:proofErr w:type="spellEnd"/>
      <w:r w:rsidRPr="00A851FF">
        <w:rPr>
          <w:rFonts w:ascii="Arial" w:eastAsia="Times New Roman" w:hAnsi="Arial" w:cs="Arial"/>
          <w:sz w:val="24"/>
          <w:szCs w:val="24"/>
        </w:rPr>
        <w:t xml:space="preserve"> существенно расширил использование ИИ в работе с корпоративными клиентами. Модернизация рекомендательных алгоритмов позволила предоставить более 400 тыс. предпринимателей индивидуальные решения по развитию бизнеса, включающие конкретные шаги и инструменты для реализации.</w:t>
      </w:r>
    </w:p>
    <w:p w14:paraId="10E416CA" w14:textId="7216A4A6" w:rsidR="00A851FF" w:rsidRDefault="00A851FF" w:rsidP="00F664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851FF">
        <w:rPr>
          <w:rFonts w:ascii="Arial" w:eastAsia="Times New Roman" w:hAnsi="Arial" w:cs="Arial"/>
          <w:sz w:val="24"/>
          <w:szCs w:val="24"/>
        </w:rPr>
        <w:t>Сбер</w:t>
      </w:r>
      <w:proofErr w:type="spellEnd"/>
      <w:r w:rsidRPr="00A851FF">
        <w:rPr>
          <w:rFonts w:ascii="Arial" w:eastAsia="Times New Roman" w:hAnsi="Arial" w:cs="Arial"/>
          <w:sz w:val="24"/>
          <w:szCs w:val="24"/>
        </w:rPr>
        <w:t xml:space="preserve"> продолжил масштабирование ИИ-агентов, внедрив ряд решений, направленных на поддержку и развитие бизнеса клиентов.</w:t>
      </w:r>
    </w:p>
    <w:p w14:paraId="4D338308" w14:textId="3EAF16D8" w:rsidR="00A851FF" w:rsidRDefault="00A851FF" w:rsidP="00F664DD">
      <w:pPr>
        <w:numPr>
          <w:ilvl w:val="1"/>
          <w:numId w:val="6"/>
        </w:num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851FF">
        <w:rPr>
          <w:rFonts w:ascii="Arial" w:eastAsia="Times New Roman" w:hAnsi="Arial" w:cs="Arial"/>
          <w:sz w:val="24"/>
          <w:szCs w:val="24"/>
        </w:rPr>
        <w:t>ИИ-агент по развитию бизнеса анализирует показатели деятельности, определяет зоны роста и формирует индивидуальные сценарии масштабирования.</w:t>
      </w:r>
    </w:p>
    <w:p w14:paraId="316C8C03" w14:textId="40172A90" w:rsidR="00A851FF" w:rsidRDefault="00A851FF" w:rsidP="00F664DD">
      <w:pPr>
        <w:numPr>
          <w:ilvl w:val="1"/>
          <w:numId w:val="6"/>
        </w:num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851FF">
        <w:rPr>
          <w:rFonts w:ascii="Arial" w:eastAsia="Times New Roman" w:hAnsi="Arial" w:cs="Arial"/>
          <w:sz w:val="24"/>
          <w:szCs w:val="24"/>
        </w:rPr>
        <w:t>Образовательный ИИ-агент оценивает динамику бизнеса и подбирает релевантные курсы и материалы на платформе «</w:t>
      </w:r>
      <w:proofErr w:type="spellStart"/>
      <w:r w:rsidRPr="00A851FF">
        <w:rPr>
          <w:rFonts w:ascii="Arial" w:eastAsia="Times New Roman" w:hAnsi="Arial" w:cs="Arial"/>
          <w:sz w:val="24"/>
          <w:szCs w:val="24"/>
        </w:rPr>
        <w:t>СберБизнес</w:t>
      </w:r>
      <w:proofErr w:type="spellEnd"/>
      <w:r w:rsidRPr="00A851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851FF">
        <w:rPr>
          <w:rFonts w:ascii="Arial" w:eastAsia="Times New Roman" w:hAnsi="Arial" w:cs="Arial"/>
          <w:sz w:val="24"/>
          <w:szCs w:val="24"/>
        </w:rPr>
        <w:t>Live</w:t>
      </w:r>
      <w:proofErr w:type="spellEnd"/>
      <w:r w:rsidRPr="00A851FF">
        <w:rPr>
          <w:rFonts w:ascii="Arial" w:eastAsia="Times New Roman" w:hAnsi="Arial" w:cs="Arial"/>
          <w:sz w:val="24"/>
          <w:szCs w:val="24"/>
        </w:rPr>
        <w:t>».</w:t>
      </w:r>
    </w:p>
    <w:p w14:paraId="6375BF08" w14:textId="4877DDCE" w:rsidR="00A851FF" w:rsidRPr="005A187D" w:rsidRDefault="00A851FF" w:rsidP="00F664DD">
      <w:pPr>
        <w:numPr>
          <w:ilvl w:val="1"/>
          <w:numId w:val="6"/>
        </w:num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851FF">
        <w:rPr>
          <w:rFonts w:ascii="Arial" w:eastAsia="Times New Roman" w:hAnsi="Arial" w:cs="Arial"/>
          <w:sz w:val="24"/>
          <w:szCs w:val="24"/>
        </w:rPr>
        <w:t>ИИ-агент для участия в тендерах находит подходящие торги, помогает рассчитать условия, подготовить пакет документов и подать заявку.</w:t>
      </w:r>
    </w:p>
    <w:p w14:paraId="3B00D360" w14:textId="77777777" w:rsidR="00A851FF" w:rsidRDefault="00A851FF" w:rsidP="002A40FB">
      <w:pPr>
        <w:spacing w:line="273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</w:pPr>
    </w:p>
    <w:p w14:paraId="19166287" w14:textId="4FDA8AD9" w:rsidR="002A40FB" w:rsidRPr="00510559" w:rsidRDefault="00510559" w:rsidP="00F664D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0559">
        <w:rPr>
          <w:rFonts w:ascii="Arial" w:eastAsia="+mn-ea" w:hAnsi="Arial" w:cs="Arial"/>
          <w:b/>
          <w:bCs/>
          <w:kern w:val="24"/>
          <w:sz w:val="24"/>
          <w:szCs w:val="24"/>
        </w:rPr>
        <w:t>Корпоративный кредитный портфель</w:t>
      </w:r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 вырос на 4,1% за 4 квартал (+4,9% без учета валютной переоценки</w:t>
      </w:r>
      <w:r w:rsidRPr="00B217F4">
        <w:rPr>
          <w:rFonts w:ascii="Arial" w:eastAsia="+mn-ea" w:hAnsi="Arial" w:cs="Arial"/>
          <w:kern w:val="24"/>
          <w:sz w:val="24"/>
          <w:szCs w:val="24"/>
          <w:vertAlign w:val="superscript"/>
        </w:rPr>
        <w:t>7</w:t>
      </w:r>
      <w:r w:rsidRPr="00510559">
        <w:rPr>
          <w:rFonts w:ascii="Arial" w:eastAsia="+mn-ea" w:hAnsi="Arial" w:cs="Arial"/>
          <w:kern w:val="24"/>
          <w:sz w:val="24"/>
          <w:szCs w:val="24"/>
        </w:rPr>
        <w:t>) или на 12,4% с начала года (+15,4% без учета валютной переоценки</w:t>
      </w:r>
      <w:r w:rsidRPr="00B217F4">
        <w:rPr>
          <w:rFonts w:ascii="Arial" w:eastAsia="+mn-ea" w:hAnsi="Arial" w:cs="Arial"/>
          <w:kern w:val="24"/>
          <w:sz w:val="24"/>
          <w:szCs w:val="24"/>
          <w:vertAlign w:val="superscript"/>
        </w:rPr>
        <w:t>7</w:t>
      </w:r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) и составил 31,2 трлн руб. Доходность корпоративных кредитов снизилась на 6 </w:t>
      </w:r>
      <w:proofErr w:type="spellStart"/>
      <w:r w:rsidRPr="00510559">
        <w:rPr>
          <w:rFonts w:ascii="Arial" w:eastAsia="+mn-ea" w:hAnsi="Arial" w:cs="Arial"/>
          <w:kern w:val="24"/>
          <w:sz w:val="24"/>
          <w:szCs w:val="24"/>
        </w:rPr>
        <w:t>бп</w:t>
      </w:r>
      <w:proofErr w:type="spellEnd"/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 за 4 квартал до 15,9%.</w:t>
      </w:r>
      <w:r w:rsidR="002A40FB" w:rsidRPr="00510559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32B0ECF6" w14:textId="0D1BABB1" w:rsidR="00D46F89" w:rsidRDefault="00510559" w:rsidP="00D46F89">
      <w:pPr>
        <w:numPr>
          <w:ilvl w:val="0"/>
          <w:numId w:val="6"/>
        </w:numPr>
        <w:spacing w:line="273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510559">
        <w:rPr>
          <w:rFonts w:ascii="Arial" w:eastAsia="+mn-ea" w:hAnsi="Arial" w:cs="Arial"/>
          <w:kern w:val="24"/>
          <w:sz w:val="24"/>
          <w:szCs w:val="24"/>
        </w:rPr>
        <w:t>В 4 квартале 2025 г. выдано 7,2 трлн руб. корпоративных кредитов.</w:t>
      </w:r>
    </w:p>
    <w:p w14:paraId="7EBCB520" w14:textId="4E2E0B1A" w:rsidR="00510559" w:rsidRPr="005A187D" w:rsidRDefault="00510559" w:rsidP="00F664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Рыночная доля </w:t>
      </w:r>
      <w:proofErr w:type="spellStart"/>
      <w:r w:rsidRPr="00510559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 в корпоративном кредитовании выросла на 0,4 </w:t>
      </w:r>
      <w:proofErr w:type="spellStart"/>
      <w:r w:rsidRPr="00510559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 с начала года до 32,8% (-0,4 </w:t>
      </w:r>
      <w:proofErr w:type="spellStart"/>
      <w:r w:rsidRPr="00510559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 за квартал).</w:t>
      </w:r>
    </w:p>
    <w:p w14:paraId="487F6173" w14:textId="5D213BD0" w:rsidR="002A40FB" w:rsidRPr="005A187D" w:rsidRDefault="00510559" w:rsidP="00F664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510559">
        <w:rPr>
          <w:rFonts w:ascii="Arial" w:eastAsia="+mn-ea" w:hAnsi="Arial" w:cs="Arial"/>
          <w:kern w:val="24"/>
          <w:sz w:val="24"/>
          <w:szCs w:val="24"/>
        </w:rPr>
        <w:t>Кредитный портфель клиентов малого и среднего бизнеса (МСБ) составил 7,3 трлн руб.</w:t>
      </w:r>
      <w:r w:rsidRPr="00510559">
        <w:rPr>
          <w:rFonts w:ascii="Arial" w:eastAsia="+mn-ea" w:hAnsi="Arial" w:cs="Arial"/>
          <w:kern w:val="24"/>
          <w:sz w:val="24"/>
          <w:szCs w:val="24"/>
          <w:vertAlign w:val="superscript"/>
        </w:rPr>
        <w:t>8</w:t>
      </w:r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, а доля </w:t>
      </w:r>
      <w:proofErr w:type="spellStart"/>
      <w:r w:rsidRPr="00510559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510559">
        <w:rPr>
          <w:rFonts w:ascii="Arial" w:eastAsia="+mn-ea" w:hAnsi="Arial" w:cs="Arial"/>
          <w:kern w:val="24"/>
          <w:sz w:val="24"/>
          <w:szCs w:val="24"/>
        </w:rPr>
        <w:t xml:space="preserve"> на рынке кредитования МСБ – 49,3%</w:t>
      </w:r>
      <w:r w:rsidRPr="00510559">
        <w:rPr>
          <w:rFonts w:ascii="Arial" w:eastAsia="+mn-ea" w:hAnsi="Arial" w:cs="Arial"/>
          <w:kern w:val="24"/>
          <w:sz w:val="24"/>
          <w:szCs w:val="24"/>
          <w:vertAlign w:val="superscript"/>
        </w:rPr>
        <w:t>9</w:t>
      </w:r>
      <w:r w:rsidRPr="00510559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5DAFCAA7" w14:textId="77777777" w:rsidR="00982DD6" w:rsidRDefault="00982DD6" w:rsidP="00F06319">
      <w:pPr>
        <w:spacing w:after="120" w:line="273" w:lineRule="auto"/>
        <w:contextualSpacing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</w:pPr>
    </w:p>
    <w:p w14:paraId="59CA4893" w14:textId="6F53049F" w:rsidR="002A40FB" w:rsidRPr="00B048EB" w:rsidRDefault="00B048EB" w:rsidP="00F664DD">
      <w:pPr>
        <w:spacing w:after="120" w:line="240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B048EB">
        <w:rPr>
          <w:rFonts w:ascii="Arial" w:eastAsia="+mn-ea" w:hAnsi="Arial" w:cs="Arial"/>
          <w:b/>
          <w:bCs/>
          <w:kern w:val="24"/>
          <w:sz w:val="24"/>
          <w:szCs w:val="24"/>
        </w:rPr>
        <w:t>Средства юридических лиц</w:t>
      </w:r>
      <w:r w:rsidRPr="00B048EB">
        <w:rPr>
          <w:rFonts w:ascii="Arial" w:eastAsia="+mn-ea" w:hAnsi="Arial" w:cs="Arial"/>
          <w:kern w:val="24"/>
          <w:sz w:val="24"/>
          <w:szCs w:val="24"/>
        </w:rPr>
        <w:t xml:space="preserve"> снизились на 9,4% за квартал (-8,4% без учета валютной переоценки</w:t>
      </w:r>
      <w:r w:rsidRPr="00B217F4">
        <w:rPr>
          <w:rFonts w:ascii="Arial" w:eastAsia="+mn-ea" w:hAnsi="Arial" w:cs="Arial"/>
          <w:kern w:val="24"/>
          <w:sz w:val="24"/>
          <w:szCs w:val="24"/>
          <w:vertAlign w:val="superscript"/>
        </w:rPr>
        <w:t>7</w:t>
      </w:r>
      <w:r w:rsidRPr="00B048EB">
        <w:rPr>
          <w:rFonts w:ascii="Arial" w:eastAsia="+mn-ea" w:hAnsi="Arial" w:cs="Arial"/>
          <w:kern w:val="24"/>
          <w:sz w:val="24"/>
          <w:szCs w:val="24"/>
        </w:rPr>
        <w:t>) или на 5,3% с начала года (-1,4% без учета валютной переоценки</w:t>
      </w:r>
      <w:r w:rsidRPr="00B217F4">
        <w:rPr>
          <w:rFonts w:ascii="Arial" w:eastAsia="+mn-ea" w:hAnsi="Arial" w:cs="Arial"/>
          <w:kern w:val="24"/>
          <w:sz w:val="24"/>
          <w:szCs w:val="24"/>
          <w:vertAlign w:val="superscript"/>
        </w:rPr>
        <w:t>7</w:t>
      </w:r>
      <w:r w:rsidRPr="00B048EB">
        <w:rPr>
          <w:rFonts w:ascii="Arial" w:eastAsia="+mn-ea" w:hAnsi="Arial" w:cs="Arial"/>
          <w:kern w:val="24"/>
          <w:sz w:val="24"/>
          <w:szCs w:val="24"/>
        </w:rPr>
        <w:t xml:space="preserve">) до 15,9 трлн руб. в связи с оптимизацией стоимости привлечений пассивов в рамках процедур управления ликвидностью Группы. Стоимость средств юридических лиц снизилась на 1 </w:t>
      </w:r>
      <w:proofErr w:type="spellStart"/>
      <w:r w:rsidRPr="00B048EB">
        <w:rPr>
          <w:rFonts w:ascii="Arial" w:eastAsia="+mn-ea" w:hAnsi="Arial" w:cs="Arial"/>
          <w:kern w:val="24"/>
          <w:sz w:val="24"/>
          <w:szCs w:val="24"/>
        </w:rPr>
        <w:t>бп</w:t>
      </w:r>
      <w:proofErr w:type="spellEnd"/>
      <w:r w:rsidRPr="00B048EB">
        <w:rPr>
          <w:rFonts w:ascii="Arial" w:eastAsia="+mn-ea" w:hAnsi="Arial" w:cs="Arial"/>
          <w:kern w:val="24"/>
          <w:sz w:val="24"/>
          <w:szCs w:val="24"/>
        </w:rPr>
        <w:t xml:space="preserve"> за 4 квартал 2025 г. до 11,5%.</w:t>
      </w:r>
    </w:p>
    <w:p w14:paraId="404F1A66" w14:textId="2F20EF70" w:rsidR="0082109C" w:rsidRPr="005A187D" w:rsidRDefault="002A40FB" w:rsidP="00F664DD">
      <w:pPr>
        <w:numPr>
          <w:ilvl w:val="0"/>
          <w:numId w:val="6"/>
        </w:numPr>
        <w:tabs>
          <w:tab w:val="num" w:pos="993"/>
        </w:tabs>
        <w:spacing w:line="240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  <w:sectPr w:rsidR="0082109C" w:rsidRPr="005A187D" w:rsidSect="00F06319">
          <w:type w:val="continuous"/>
          <w:pgSz w:w="11906" w:h="16838"/>
          <w:pgMar w:top="1134" w:right="850" w:bottom="1134" w:left="851" w:header="708" w:footer="708" w:gutter="0"/>
          <w:cols w:space="567"/>
          <w:docGrid w:linePitch="360"/>
        </w:sectPr>
      </w:pPr>
      <w:r w:rsidRPr="005A187D">
        <w:rPr>
          <w:rFonts w:ascii="Arial" w:eastAsia="+mn-ea" w:hAnsi="Arial" w:cs="Arial"/>
          <w:kern w:val="24"/>
          <w:sz w:val="24"/>
          <w:szCs w:val="24"/>
        </w:rPr>
        <w:t xml:space="preserve">Рыночная доля </w:t>
      </w:r>
      <w:proofErr w:type="spellStart"/>
      <w:r w:rsidRPr="005A187D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5A187D">
        <w:rPr>
          <w:rFonts w:ascii="Arial" w:eastAsia="+mn-ea" w:hAnsi="Arial" w:cs="Arial"/>
          <w:kern w:val="24"/>
          <w:sz w:val="24"/>
          <w:szCs w:val="24"/>
        </w:rPr>
        <w:t xml:space="preserve"> в средствах юридических лиц </w:t>
      </w:r>
      <w:r w:rsidR="00280A5A" w:rsidRPr="00280A5A">
        <w:rPr>
          <w:rFonts w:ascii="Arial" w:eastAsia="+mn-ea" w:hAnsi="Arial" w:cs="Arial"/>
          <w:kern w:val="24"/>
          <w:sz w:val="24"/>
          <w:szCs w:val="24"/>
        </w:rPr>
        <w:t xml:space="preserve">снизилась за квартал на 0,8 </w:t>
      </w:r>
      <w:proofErr w:type="spellStart"/>
      <w:r w:rsidR="00280A5A" w:rsidRPr="00280A5A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="00280A5A" w:rsidRPr="00280A5A">
        <w:rPr>
          <w:rFonts w:ascii="Arial" w:eastAsia="+mn-ea" w:hAnsi="Arial" w:cs="Arial"/>
          <w:kern w:val="24"/>
          <w:sz w:val="24"/>
          <w:szCs w:val="24"/>
        </w:rPr>
        <w:t xml:space="preserve"> или на 1,7 </w:t>
      </w:r>
      <w:proofErr w:type="spellStart"/>
      <w:r w:rsidR="00280A5A" w:rsidRPr="00280A5A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="00280A5A" w:rsidRPr="00280A5A">
        <w:rPr>
          <w:rFonts w:ascii="Arial" w:eastAsia="+mn-ea" w:hAnsi="Arial" w:cs="Arial"/>
          <w:kern w:val="24"/>
          <w:sz w:val="24"/>
          <w:szCs w:val="24"/>
        </w:rPr>
        <w:t xml:space="preserve"> с начала года до 18,2%.</w:t>
      </w:r>
    </w:p>
    <w:p w14:paraId="35B4A395" w14:textId="77777777" w:rsidR="00F06319" w:rsidRPr="005A187D" w:rsidRDefault="00F06319" w:rsidP="009A4A16">
      <w:pPr>
        <w:numPr>
          <w:ilvl w:val="1"/>
          <w:numId w:val="7"/>
        </w:numPr>
        <w:spacing w:after="120" w:line="273" w:lineRule="auto"/>
        <w:ind w:left="1714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  <w:sectPr w:rsidR="00F06319" w:rsidRPr="005A187D" w:rsidSect="002A40FB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14:paraId="6DF44D83" w14:textId="77777777" w:rsidR="002A40FB" w:rsidRPr="005A187D" w:rsidRDefault="002A40FB" w:rsidP="00915356">
      <w:pPr>
        <w:spacing w:after="120" w:line="273" w:lineRule="auto"/>
        <w:contextualSpacing/>
        <w:jc w:val="both"/>
        <w:rPr>
          <w:rFonts w:ascii="Arial" w:eastAsia="Times New Roman" w:hAnsi="Arial" w:cs="Arial"/>
          <w:sz w:val="24"/>
          <w:szCs w:val="24"/>
        </w:rPr>
        <w:sectPr w:rsidR="002A40FB" w:rsidRPr="005A187D" w:rsidSect="002A40FB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14:paraId="504E983E" w14:textId="77777777" w:rsidR="00D46F89" w:rsidRPr="005A187D" w:rsidRDefault="00D46F89" w:rsidP="00D46F89">
      <w:pPr>
        <w:pStyle w:val="a8"/>
        <w:spacing w:before="0" w:beforeAutospacing="0" w:after="120" w:afterAutospacing="0"/>
        <w:rPr>
          <w:rFonts w:ascii="Arial" w:hAnsi="Arial" w:cs="Arial"/>
          <w:b/>
        </w:rPr>
      </w:pPr>
      <w:r w:rsidRPr="005A187D">
        <w:rPr>
          <w:rFonts w:ascii="Arial" w:hAnsi="Arial" w:cs="Arial"/>
          <w:b/>
          <w:kern w:val="24"/>
        </w:rPr>
        <w:t>B2С</w:t>
      </w:r>
    </w:p>
    <w:p w14:paraId="723373E3" w14:textId="77777777" w:rsidR="00870F60" w:rsidRDefault="00870F60" w:rsidP="00870F60">
      <w:pPr>
        <w:spacing w:after="120" w:line="273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5A187D">
        <w:rPr>
          <w:rFonts w:ascii="Arial" w:eastAsia="+mn-ea" w:hAnsi="Arial" w:cs="Arial"/>
          <w:kern w:val="24"/>
          <w:sz w:val="24"/>
          <w:szCs w:val="24"/>
        </w:rPr>
        <w:t>Сегмент «B2C» предлагает разнообразные финансовые и нефинансовые решения и сервисы для розничных клиентов.</w:t>
      </w:r>
    </w:p>
    <w:p w14:paraId="7CB903F7" w14:textId="77777777" w:rsidR="00F664DD" w:rsidRPr="005A187D" w:rsidRDefault="00F664DD" w:rsidP="00870F60">
      <w:pPr>
        <w:spacing w:after="120" w:line="273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</w:p>
    <w:tbl>
      <w:tblPr>
        <w:tblStyle w:val="a9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1277"/>
        <w:gridCol w:w="1270"/>
        <w:gridCol w:w="1198"/>
        <w:gridCol w:w="1354"/>
        <w:gridCol w:w="1554"/>
      </w:tblGrid>
      <w:tr w:rsidR="004E3A58" w14:paraId="4BD52CCA" w14:textId="77777777" w:rsidTr="007977B8">
        <w:trPr>
          <w:trHeight w:val="365"/>
        </w:trPr>
        <w:tc>
          <w:tcPr>
            <w:tcW w:w="0" w:type="auto"/>
            <w:tcBorders>
              <w:top w:val="nil"/>
              <w:bottom w:val="single" w:sz="4" w:space="0" w:color="00AC84"/>
            </w:tcBorders>
            <w:vAlign w:val="center"/>
          </w:tcPr>
          <w:p w14:paraId="5AEAFDB1" w14:textId="77777777" w:rsidR="004E3A58" w:rsidRPr="00921B2F" w:rsidRDefault="004E3A58" w:rsidP="007977B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 Light" w:hAnsi="SB Sans Text Light" w:cs="SB Sans Text Light"/>
                <w:kern w:val="24"/>
                <w:sz w:val="14"/>
                <w:szCs w:val="14"/>
              </w:rPr>
              <w:t>в млрд руб., если не указано иное</w:t>
            </w:r>
          </w:p>
        </w:tc>
        <w:tc>
          <w:tcPr>
            <w:tcW w:w="0" w:type="auto"/>
            <w:tcBorders>
              <w:top w:val="nil"/>
              <w:bottom w:val="single" w:sz="4" w:space="0" w:color="00AC84"/>
            </w:tcBorders>
            <w:shd w:val="clear" w:color="auto" w:fill="F2F2F2" w:themeFill="background1" w:themeFillShade="F2"/>
            <w:vAlign w:val="center"/>
          </w:tcPr>
          <w:p w14:paraId="04134579" w14:textId="77777777" w:rsidR="004E3A58" w:rsidRPr="005239EF" w:rsidRDefault="004E3A58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SB Sans Text Light" w:hAnsi="SB Sans Text Light" w:cs="SB Sans Text Light"/>
                <w:b/>
                <w:color w:val="000000" w:themeColor="text1"/>
                <w:kern w:val="24"/>
                <w:sz w:val="16"/>
                <w:szCs w:val="16"/>
              </w:rPr>
              <w:t>31.12.2025</w:t>
            </w:r>
          </w:p>
        </w:tc>
        <w:tc>
          <w:tcPr>
            <w:tcW w:w="0" w:type="auto"/>
            <w:tcBorders>
              <w:top w:val="nil"/>
              <w:bottom w:val="single" w:sz="4" w:space="0" w:color="00AC84"/>
            </w:tcBorders>
            <w:vAlign w:val="center"/>
          </w:tcPr>
          <w:p w14:paraId="725CE216" w14:textId="77777777" w:rsidR="004E3A58" w:rsidRPr="00921B2F" w:rsidRDefault="004E3A58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 Light" w:hAnsi="SB Sans Text Light" w:cs="SB Sans Text Light"/>
                <w:kern w:val="24"/>
                <w:sz w:val="16"/>
                <w:szCs w:val="16"/>
              </w:rPr>
              <w:t>30.09.2025</w:t>
            </w:r>
          </w:p>
        </w:tc>
        <w:tc>
          <w:tcPr>
            <w:tcW w:w="1198" w:type="dxa"/>
            <w:tcBorders>
              <w:top w:val="nil"/>
              <w:bottom w:val="single" w:sz="4" w:space="0" w:color="00AC84"/>
            </w:tcBorders>
            <w:vAlign w:val="center"/>
          </w:tcPr>
          <w:p w14:paraId="705A497F" w14:textId="77777777" w:rsidR="004E3A58" w:rsidRPr="00921B2F" w:rsidRDefault="004E3A58" w:rsidP="007977B8">
            <w:pPr>
              <w:pStyle w:val="a8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 Light" w:hAnsi="SB Sans Text Light" w:cs="SB Sans Text Light"/>
                <w:kern w:val="24"/>
                <w:sz w:val="16"/>
                <w:szCs w:val="16"/>
              </w:rPr>
              <w:t>31.12.2024</w:t>
            </w:r>
          </w:p>
        </w:tc>
        <w:tc>
          <w:tcPr>
            <w:tcW w:w="0" w:type="auto"/>
            <w:tcBorders>
              <w:top w:val="nil"/>
              <w:bottom w:val="single" w:sz="4" w:space="0" w:color="00AC84"/>
            </w:tcBorders>
            <w:vAlign w:val="center"/>
          </w:tcPr>
          <w:p w14:paraId="52C26F5E" w14:textId="77777777" w:rsidR="004E3A58" w:rsidRPr="00921B2F" w:rsidRDefault="004E3A58" w:rsidP="007977B8">
            <w:pPr>
              <w:pStyle w:val="a8"/>
              <w:spacing w:before="0" w:beforeAutospacing="0" w:after="0" w:afterAutospacing="0" w:line="256" w:lineRule="auto"/>
              <w:jc w:val="right"/>
              <w:rPr>
                <w:rFonts w:ascii="SB Sans Text Light" w:hAnsi="SB Sans Text Light" w:cs="SB Sans Text Light"/>
                <w:i/>
                <w:iCs/>
                <w:kern w:val="24"/>
                <w:sz w:val="16"/>
                <w:szCs w:val="16"/>
              </w:rPr>
            </w:pPr>
            <w:r w:rsidRPr="00921B2F">
              <w:rPr>
                <w:rFonts w:ascii="SB Sans Text Light" w:hAnsi="SB Sans Text Light" w:cs="SB Sans Text Light"/>
                <w:i/>
                <w:iCs/>
                <w:kern w:val="24"/>
                <w:sz w:val="16"/>
                <w:szCs w:val="16"/>
              </w:rPr>
              <w:t xml:space="preserve">изменение </w:t>
            </w:r>
            <w:r w:rsidRPr="00921B2F">
              <w:rPr>
                <w:rFonts w:ascii="SB Sans Text Light" w:hAnsi="SB Sans Text Light" w:cs="SB Sans Text Light"/>
                <w:i/>
                <w:iCs/>
                <w:kern w:val="24"/>
                <w:sz w:val="16"/>
                <w:szCs w:val="16"/>
              </w:rPr>
              <w:br/>
              <w:t>за квартал</w:t>
            </w:r>
          </w:p>
        </w:tc>
        <w:tc>
          <w:tcPr>
            <w:tcW w:w="0" w:type="auto"/>
            <w:tcBorders>
              <w:top w:val="nil"/>
              <w:bottom w:val="single" w:sz="4" w:space="0" w:color="00AC84"/>
            </w:tcBorders>
            <w:vAlign w:val="center"/>
          </w:tcPr>
          <w:p w14:paraId="08374816" w14:textId="77777777" w:rsidR="004E3A58" w:rsidRPr="00921B2F" w:rsidRDefault="004E3A58" w:rsidP="007977B8">
            <w:pPr>
              <w:pStyle w:val="a8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 Light" w:hAnsi="SB Sans Text Light" w:cs="SB Sans Text Light"/>
                <w:i/>
                <w:iCs/>
                <w:kern w:val="24"/>
                <w:sz w:val="16"/>
                <w:szCs w:val="16"/>
              </w:rPr>
              <w:t xml:space="preserve">изменение </w:t>
            </w:r>
            <w:r w:rsidRPr="00921B2F">
              <w:rPr>
                <w:rFonts w:ascii="SB Sans Text Light" w:hAnsi="SB Sans Text Light" w:cs="SB Sans Text Light"/>
                <w:i/>
                <w:iCs/>
                <w:kern w:val="24"/>
                <w:sz w:val="16"/>
                <w:szCs w:val="16"/>
              </w:rPr>
              <w:br/>
              <w:t>с начала года</w:t>
            </w:r>
          </w:p>
        </w:tc>
      </w:tr>
      <w:tr w:rsidR="004E3A58" w14:paraId="1EF367CB" w14:textId="77777777" w:rsidTr="007977B8">
        <w:trPr>
          <w:trHeight w:val="290"/>
        </w:trPr>
        <w:tc>
          <w:tcPr>
            <w:tcW w:w="0" w:type="auto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4C240F15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Кредиты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физическим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лицам</w:t>
            </w:r>
            <w:r>
              <w:rPr>
                <w:rFonts w:asciiTheme="minorHAnsi" w:hAnsi="SB Sans Text" w:cs="SB Sans Display Light"/>
                <w:kern w:val="24"/>
                <w:position w:val="5"/>
                <w:sz w:val="16"/>
                <w:szCs w:val="16"/>
                <w:vertAlign w:val="superscript"/>
              </w:rPr>
              <w:t>6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AC84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638055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kern w:val="24"/>
                <w:sz w:val="16"/>
                <w:szCs w:val="16"/>
              </w:rPr>
              <w:t>19 207</w:t>
            </w:r>
          </w:p>
        </w:tc>
        <w:tc>
          <w:tcPr>
            <w:tcW w:w="0" w:type="auto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6A3EFF57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921B2F">
              <w:rPr>
                <w:rFonts w:ascii="SB Sans Text" w:hAnsi="SB Sans Text" w:cs="SB Sans Text"/>
                <w:kern w:val="24"/>
                <w:sz w:val="16"/>
                <w:szCs w:val="16"/>
              </w:rPr>
              <w:t>18 500</w:t>
            </w:r>
          </w:p>
        </w:tc>
        <w:tc>
          <w:tcPr>
            <w:tcW w:w="0" w:type="auto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0DD68ADE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921B2F">
              <w:rPr>
                <w:rFonts w:ascii="SB Sans Text" w:hAnsi="SB Sans Text" w:cs="SB Sans Text"/>
                <w:bCs/>
                <w:sz w:val="16"/>
                <w:szCs w:val="16"/>
              </w:rPr>
              <w:t>18 116</w:t>
            </w:r>
          </w:p>
        </w:tc>
        <w:tc>
          <w:tcPr>
            <w:tcW w:w="0" w:type="auto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7A9A2D74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3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8%</w:t>
            </w:r>
          </w:p>
        </w:tc>
        <w:tc>
          <w:tcPr>
            <w:tcW w:w="0" w:type="auto"/>
            <w:tcBorders>
              <w:top w:val="single" w:sz="4" w:space="0" w:color="00AC84"/>
              <w:bottom w:val="single" w:sz="4" w:space="0" w:color="808080" w:themeColor="background1" w:themeShade="80"/>
            </w:tcBorders>
            <w:vAlign w:val="center"/>
          </w:tcPr>
          <w:p w14:paraId="07CEADEF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6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0%</w:t>
            </w:r>
          </w:p>
        </w:tc>
      </w:tr>
      <w:tr w:rsidR="004E3A58" w14:paraId="0C67E033" w14:textId="77777777" w:rsidTr="007977B8">
        <w:trPr>
          <w:trHeight w:val="290"/>
        </w:trPr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AE19289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ind w:left="288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Жилищное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кредитование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BF9006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kern w:val="24"/>
                <w:sz w:val="16"/>
                <w:szCs w:val="16"/>
              </w:rPr>
              <w:t>12 453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2051291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921B2F">
              <w:rPr>
                <w:rFonts w:ascii="SB Sans Text" w:hAnsi="SB Sans Text" w:cs="SB Sans Text"/>
                <w:kern w:val="24"/>
                <w:sz w:val="16"/>
                <w:szCs w:val="16"/>
              </w:rPr>
              <w:t>11 725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61D17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11 154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B6E215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6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2%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0C1AAB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11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6%</w:t>
            </w:r>
          </w:p>
        </w:tc>
      </w:tr>
      <w:tr w:rsidR="004E3A58" w14:paraId="48AA65A8" w14:textId="77777777" w:rsidTr="007977B8">
        <w:trPr>
          <w:trHeight w:val="290"/>
        </w:trPr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10C259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ind w:left="288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Потребительское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кредитование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FC7E31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kern w:val="24"/>
                <w:sz w:val="16"/>
                <w:szCs w:val="16"/>
              </w:rPr>
              <w:t>3 513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81D792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sz w:val="16"/>
                <w:szCs w:val="1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3 59</w:t>
            </w:r>
            <w:r>
              <w:rPr>
                <w:rFonts w:ascii="SB Sans Text" w:hAnsi="SB Sans Text" w:cs="SB Sans Text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A37D79B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4 018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B570770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-2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  <w:lang w:val="en-US"/>
              </w:rPr>
              <w:t>3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C51B04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-12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6%</w:t>
            </w:r>
          </w:p>
        </w:tc>
      </w:tr>
      <w:tr w:rsidR="004E3A58" w14:paraId="62D8566A" w14:textId="77777777" w:rsidTr="007977B8">
        <w:trPr>
          <w:trHeight w:val="348"/>
        </w:trPr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0ACBF3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ind w:left="288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Кредитные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карты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3F1506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kern w:val="24"/>
                <w:sz w:val="16"/>
                <w:szCs w:val="16"/>
              </w:rPr>
              <w:t>2 516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1668A9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sz w:val="16"/>
                <w:szCs w:val="1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2 536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BA014D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2 342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D09BA6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-0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8%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EFFD62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7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4%</w:t>
            </w:r>
          </w:p>
        </w:tc>
      </w:tr>
      <w:tr w:rsidR="004E3A58" w14:paraId="699BCE6F" w14:textId="77777777" w:rsidTr="007977B8">
        <w:trPr>
          <w:trHeight w:val="290"/>
        </w:trPr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781B18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ind w:left="288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>Автокредитование</w:t>
            </w:r>
            <w:r w:rsidRPr="00921B2F">
              <w:rPr>
                <w:rFonts w:asciiTheme="minorHAnsi" w:hAnsi="SB Sans Text" w:cs="SB Sans Display Light"/>
                <w:iCs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B4217D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kern w:val="24"/>
                <w:sz w:val="16"/>
                <w:szCs w:val="16"/>
              </w:rPr>
              <w:t>72</w:t>
            </w:r>
            <w:r>
              <w:rPr>
                <w:rFonts w:ascii="SB Sans Text" w:hAnsi="SB Sans Text" w:cs="SB Sans Text"/>
                <w:kern w:val="24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7593F9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sz w:val="16"/>
                <w:szCs w:val="1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645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BA8FF2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" w:hAnsi="SB Sans Text" w:cs="SB Sans Text"/>
                <w:sz w:val="16"/>
                <w:szCs w:val="16"/>
              </w:rPr>
              <w:t>602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31249D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12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564B83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20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5%</w:t>
            </w:r>
          </w:p>
        </w:tc>
      </w:tr>
      <w:tr w:rsidR="004E3A58" w14:paraId="33E4151A" w14:textId="77777777" w:rsidTr="007977B8">
        <w:trPr>
          <w:trHeight w:val="290"/>
        </w:trPr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194B5D1B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Средства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физических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 xml:space="preserve"> </w:t>
            </w:r>
            <w:r w:rsidRPr="00921B2F">
              <w:rPr>
                <w:rFonts w:asciiTheme="minorHAnsi" w:hAnsi="SB Sans Text" w:cs="SB Sans Display Light"/>
                <w:kern w:val="24"/>
                <w:sz w:val="16"/>
                <w:szCs w:val="16"/>
              </w:rPr>
              <w:t>лиц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00AC84"/>
            </w:tcBorders>
            <w:shd w:val="clear" w:color="auto" w:fill="F2F2F2" w:themeFill="background1" w:themeFillShade="F2"/>
            <w:vAlign w:val="center"/>
          </w:tcPr>
          <w:p w14:paraId="7B3F940B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kern w:val="24"/>
                <w:sz w:val="16"/>
                <w:szCs w:val="16"/>
              </w:rPr>
              <w:t>33 466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511F75E3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" w:hAnsi="SB Sans Text" w:cs="SB Sans Text"/>
                <w:bCs/>
                <w:sz w:val="16"/>
                <w:szCs w:val="16"/>
              </w:rPr>
              <w:t>30 321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3EFA641A" w14:textId="77777777" w:rsidR="004E3A58" w:rsidRPr="00921B2F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921B2F">
              <w:rPr>
                <w:rFonts w:ascii="SB Sans Text" w:hAnsi="SB Sans Text" w:cs="SB Sans Text"/>
                <w:bCs/>
                <w:sz w:val="16"/>
                <w:szCs w:val="16"/>
              </w:rPr>
              <w:t>27 822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26DEFCBC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10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bottom w:val="single" w:sz="4" w:space="0" w:color="00AC84"/>
            </w:tcBorders>
            <w:vAlign w:val="center"/>
          </w:tcPr>
          <w:p w14:paraId="5392701E" w14:textId="77777777" w:rsidR="004E3A58" w:rsidRPr="00E32DBD" w:rsidRDefault="004E3A58" w:rsidP="007977B8">
            <w:pPr>
              <w:pStyle w:val="a8"/>
              <w:spacing w:before="0" w:beforeAutospacing="0" w:after="0" w:afterAutospacing="0"/>
              <w:jc w:val="right"/>
              <w:textAlignment w:val="center"/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</w:pP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20</w:t>
            </w:r>
            <w:r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,</w:t>
            </w:r>
            <w:r w:rsidRPr="00E32DBD">
              <w:rPr>
                <w:rFonts w:ascii="SB Sans Text" w:hAnsi="SB Sans Text" w:cs="SB Sans Text"/>
                <w:i/>
                <w:kern w:val="24"/>
                <w:sz w:val="16"/>
                <w:szCs w:val="16"/>
              </w:rPr>
              <w:t>3%</w:t>
            </w:r>
          </w:p>
        </w:tc>
      </w:tr>
    </w:tbl>
    <w:p w14:paraId="45785EE9" w14:textId="77777777" w:rsidR="00D72891" w:rsidRDefault="00D72891" w:rsidP="001803AC">
      <w:pPr>
        <w:spacing w:after="120" w:line="264" w:lineRule="auto"/>
        <w:jc w:val="both"/>
        <w:rPr>
          <w:rFonts w:ascii="SB Sans Text" w:eastAsia="+mn-ea" w:hAnsi="SB Sans Text" w:cs="+mn-cs"/>
          <w:b/>
          <w:bCs/>
          <w:color w:val="333F48"/>
          <w:kern w:val="24"/>
          <w:sz w:val="18"/>
          <w:szCs w:val="18"/>
        </w:rPr>
      </w:pPr>
    </w:p>
    <w:p w14:paraId="35DDE072" w14:textId="77777777" w:rsidR="00D72891" w:rsidRDefault="00D72891" w:rsidP="001803AC">
      <w:pPr>
        <w:spacing w:after="120" w:line="264" w:lineRule="auto"/>
        <w:jc w:val="both"/>
        <w:rPr>
          <w:rFonts w:ascii="SB Sans Text" w:eastAsia="+mn-ea" w:hAnsi="SB Sans Text" w:cs="+mn-cs"/>
          <w:b/>
          <w:bCs/>
          <w:color w:val="333F48"/>
          <w:kern w:val="24"/>
          <w:sz w:val="18"/>
          <w:szCs w:val="18"/>
        </w:rPr>
        <w:sectPr w:rsidR="00D72891" w:rsidSect="009B370D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59CE0E3A" w14:textId="77777777" w:rsidR="000D21C4" w:rsidRDefault="000D21C4" w:rsidP="007F69E1">
      <w:pPr>
        <w:spacing w:before="120" w:after="120" w:line="264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</w:pPr>
    </w:p>
    <w:p w14:paraId="1BF83A0D" w14:textId="431A0F69" w:rsidR="001803AC" w:rsidRPr="0082771F" w:rsidRDefault="00974398" w:rsidP="007F69E1">
      <w:pPr>
        <w:spacing w:before="120" w:after="120" w:line="264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Количество розничных клиентов</w:t>
      </w: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выросло на 0,8 млн с начала года до 110,7 млн человек.</w:t>
      </w:r>
    </w:p>
    <w:p w14:paraId="57CBB0C2" w14:textId="63666C14" w:rsidR="00974398" w:rsidRPr="00974398" w:rsidRDefault="00974398" w:rsidP="00F664DD">
      <w:pPr>
        <w:pStyle w:val="a7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98">
        <w:rPr>
          <w:rFonts w:ascii="Arial" w:eastAsia="Times New Roman" w:hAnsi="Arial" w:cs="Arial"/>
          <w:sz w:val="24"/>
          <w:szCs w:val="24"/>
        </w:rPr>
        <w:t xml:space="preserve">По итогам 2025 года ежемесячная аудитория решений на базе ИИ в розничных цифровых каналах достигла 12 млн пользователей. Технологии ИИ интегрированы в ключевые B2C-продукты </w:t>
      </w:r>
      <w:proofErr w:type="spellStart"/>
      <w:r w:rsidRPr="00974398">
        <w:rPr>
          <w:rFonts w:ascii="Arial" w:eastAsia="Times New Roman" w:hAnsi="Arial" w:cs="Arial"/>
          <w:sz w:val="24"/>
          <w:szCs w:val="24"/>
        </w:rPr>
        <w:t>Сбера</w:t>
      </w:r>
      <w:proofErr w:type="spellEnd"/>
      <w:r w:rsidRPr="00974398">
        <w:rPr>
          <w:rFonts w:ascii="Arial" w:eastAsia="Times New Roman" w:hAnsi="Arial" w:cs="Arial"/>
          <w:sz w:val="24"/>
          <w:szCs w:val="24"/>
        </w:rPr>
        <w:t xml:space="preserve">: от навигации и поиска с </w:t>
      </w:r>
      <w:proofErr w:type="spellStart"/>
      <w:r w:rsidR="00B217F4">
        <w:rPr>
          <w:rFonts w:ascii="Arial" w:eastAsia="Times New Roman" w:hAnsi="Arial" w:cs="Arial"/>
          <w:sz w:val="24"/>
          <w:szCs w:val="24"/>
          <w:lang w:val="en-US"/>
        </w:rPr>
        <w:t>GigaChat</w:t>
      </w:r>
      <w:proofErr w:type="spellEnd"/>
      <w:r w:rsidRPr="00974398">
        <w:rPr>
          <w:rFonts w:ascii="Arial" w:eastAsia="Times New Roman" w:hAnsi="Arial" w:cs="Arial"/>
          <w:sz w:val="24"/>
          <w:szCs w:val="24"/>
        </w:rPr>
        <w:t xml:space="preserve"> в </w:t>
      </w:r>
      <w:proofErr w:type="spellStart"/>
      <w:r w:rsidRPr="00974398">
        <w:rPr>
          <w:rFonts w:ascii="Arial" w:eastAsia="Times New Roman" w:hAnsi="Arial" w:cs="Arial"/>
          <w:sz w:val="24"/>
          <w:szCs w:val="24"/>
        </w:rPr>
        <w:t>СберБанк</w:t>
      </w:r>
      <w:proofErr w:type="spellEnd"/>
      <w:r w:rsidRPr="00974398">
        <w:rPr>
          <w:rFonts w:ascii="Arial" w:eastAsia="Times New Roman" w:hAnsi="Arial" w:cs="Arial"/>
          <w:sz w:val="24"/>
          <w:szCs w:val="24"/>
        </w:rPr>
        <w:t xml:space="preserve"> Онлайн до игровых ассистентов в </w:t>
      </w:r>
      <w:proofErr w:type="spellStart"/>
      <w:r w:rsidRPr="00974398">
        <w:rPr>
          <w:rFonts w:ascii="Arial" w:eastAsia="Times New Roman" w:hAnsi="Arial" w:cs="Arial"/>
          <w:sz w:val="24"/>
          <w:szCs w:val="24"/>
        </w:rPr>
        <w:t>СберKids</w:t>
      </w:r>
      <w:proofErr w:type="spellEnd"/>
      <w:r w:rsidRPr="00974398">
        <w:rPr>
          <w:rFonts w:ascii="Arial" w:eastAsia="Times New Roman" w:hAnsi="Arial" w:cs="Arial"/>
          <w:sz w:val="24"/>
          <w:szCs w:val="24"/>
        </w:rPr>
        <w:t>.</w:t>
      </w:r>
    </w:p>
    <w:p w14:paraId="1CD7C6E3" w14:textId="77777777" w:rsidR="001803AC" w:rsidRPr="005A187D" w:rsidRDefault="001803AC" w:rsidP="007F69E1">
      <w:pPr>
        <w:spacing w:before="120" w:after="120" w:line="264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  <w:sectPr w:rsidR="001803AC" w:rsidRPr="005A187D" w:rsidSect="00F025D8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1CF5B4DB" w14:textId="5781ABFC" w:rsidR="001803AC" w:rsidRPr="00974398" w:rsidRDefault="00974398" w:rsidP="00F664D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Число активных ежемесячных пользователей (MAU) </w:t>
      </w:r>
      <w:proofErr w:type="spellStart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СберБанк</w:t>
      </w:r>
      <w:proofErr w:type="spellEnd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 xml:space="preserve"> Онлайн</w:t>
      </w: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(</w:t>
      </w:r>
      <w:proofErr w:type="spellStart"/>
      <w:r w:rsidRPr="00974398">
        <w:rPr>
          <w:rFonts w:ascii="Arial" w:eastAsia="+mn-ea" w:hAnsi="Arial" w:cs="Arial"/>
          <w:kern w:val="24"/>
          <w:sz w:val="24"/>
          <w:szCs w:val="24"/>
        </w:rPr>
        <w:t>app</w:t>
      </w:r>
      <w:proofErr w:type="spellEnd"/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+ </w:t>
      </w:r>
      <w:proofErr w:type="spellStart"/>
      <w:r w:rsidRPr="00974398">
        <w:rPr>
          <w:rFonts w:ascii="Arial" w:eastAsia="+mn-ea" w:hAnsi="Arial" w:cs="Arial"/>
          <w:kern w:val="24"/>
          <w:sz w:val="24"/>
          <w:szCs w:val="24"/>
        </w:rPr>
        <w:t>web</w:t>
      </w:r>
      <w:proofErr w:type="spellEnd"/>
      <w:r w:rsidRPr="00974398">
        <w:rPr>
          <w:rFonts w:ascii="Arial" w:eastAsia="+mn-ea" w:hAnsi="Arial" w:cs="Arial"/>
          <w:kern w:val="24"/>
          <w:sz w:val="24"/>
          <w:szCs w:val="24"/>
        </w:rPr>
        <w:t>) выросло на 0,3 млн за квартал до 84,8 млн человек (+1,3 млн с начала года), а количество ежедневных пользователей увеличилось на 1,2 млн за квартал до 44,9 млн человек. Показатель DAU/MAU вырос до 53,0%.</w:t>
      </w:r>
    </w:p>
    <w:p w14:paraId="78D77F3D" w14:textId="2028A819" w:rsidR="00974398" w:rsidRPr="00974398" w:rsidRDefault="00974398" w:rsidP="00F664DD">
      <w:pPr>
        <w:spacing w:before="120" w:after="120" w:line="240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974398">
        <w:rPr>
          <w:rFonts w:ascii="Arial" w:eastAsia="+mn-ea" w:hAnsi="Arial" w:cs="Arial"/>
          <w:kern w:val="24"/>
          <w:sz w:val="24"/>
          <w:szCs w:val="24"/>
        </w:rPr>
        <w:t>Число активных ежемесячных пользователей (</w:t>
      </w:r>
      <w:r w:rsidRPr="00974398">
        <w:rPr>
          <w:rFonts w:ascii="Arial" w:eastAsia="+mn-ea" w:hAnsi="Arial" w:cs="Arial"/>
          <w:kern w:val="24"/>
          <w:sz w:val="24"/>
          <w:szCs w:val="24"/>
          <w:lang w:val="en-US"/>
        </w:rPr>
        <w:t>MAU</w:t>
      </w: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) мобильного приложения </w:t>
      </w:r>
      <w:proofErr w:type="spellStart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Сбер</w:t>
      </w:r>
      <w:proofErr w:type="spellEnd"/>
      <w:r w:rsidRPr="00974398">
        <w:rPr>
          <w:rFonts w:ascii="Arial" w:eastAsia="+mn-ea" w:hAnsi="Arial" w:cs="Arial"/>
          <w:b/>
          <w:bCs/>
          <w:kern w:val="24"/>
          <w:sz w:val="24"/>
          <w:szCs w:val="24"/>
          <w:lang w:val="en-US"/>
        </w:rPr>
        <w:t>Kids</w:t>
      </w: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составило 2,8 млн человек и выросло на 0,3 млн за квартал или на 0,6 млн с начала года за счет расширения функциональности приложения и появления новых продуктов для юной аудитории.</w:t>
      </w:r>
    </w:p>
    <w:p w14:paraId="2AC21457" w14:textId="4DF17C7D" w:rsidR="001803AC" w:rsidRPr="005A187D" w:rsidRDefault="00974398" w:rsidP="00F664D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Количество зарегистрированных участников программы </w:t>
      </w:r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«</w:t>
      </w:r>
      <w:proofErr w:type="spellStart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СберСпасибо</w:t>
      </w:r>
      <w:proofErr w:type="spellEnd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»</w:t>
      </w: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увеличилось на 1,9 млн за квартал или на 8,7 млн с начала года до 100,5 млн человек. Рост обусловлен постоянным расширением возможностей программы и персонализацией категорий, что делает программу востребованной для повседневных трат миллионов семей.</w:t>
      </w:r>
      <w:r w:rsidR="001803AC" w:rsidRPr="005A187D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104C29E3" w14:textId="0904C134" w:rsidR="001803AC" w:rsidRPr="005A187D" w:rsidRDefault="00974398" w:rsidP="00F664D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Количество человек, воспользовавшихся аккаунтом </w:t>
      </w:r>
      <w:proofErr w:type="spellStart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Сбер</w:t>
      </w:r>
      <w:proofErr w:type="spellEnd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 xml:space="preserve"> ID</w:t>
      </w: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для входа и регистрации на сайтах и в приложениях </w:t>
      </w:r>
      <w:proofErr w:type="spellStart"/>
      <w:r w:rsidRPr="00974398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и его партнёров выросло на 6,4 млн за квартал или на 22,2 млн с начала года до 116,6 млн человек. Вход со </w:t>
      </w:r>
      <w:proofErr w:type="spellStart"/>
      <w:r w:rsidRPr="00974398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ID возможен уже на 115 тыс. поверхностей.</w:t>
      </w:r>
    </w:p>
    <w:p w14:paraId="3F23BB2A" w14:textId="0A758BAA" w:rsidR="007629B4" w:rsidRPr="0082771F" w:rsidRDefault="00974398" w:rsidP="002652B2">
      <w:pPr>
        <w:spacing w:before="120" w:after="12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Количество пользователей подписки </w:t>
      </w:r>
      <w:proofErr w:type="spellStart"/>
      <w:r w:rsidRPr="00974398">
        <w:rPr>
          <w:rFonts w:ascii="Arial" w:eastAsia="+mn-ea" w:hAnsi="Arial" w:cs="Arial"/>
          <w:b/>
          <w:bCs/>
          <w:kern w:val="24"/>
          <w:sz w:val="24"/>
          <w:szCs w:val="24"/>
        </w:rPr>
        <w:t>СберПрайм</w:t>
      </w:r>
      <w:proofErr w:type="spellEnd"/>
      <w:r w:rsidRPr="00974398">
        <w:rPr>
          <w:rFonts w:ascii="Arial" w:eastAsia="+mn-ea" w:hAnsi="Arial" w:cs="Arial"/>
          <w:kern w:val="24"/>
          <w:sz w:val="24"/>
          <w:szCs w:val="24"/>
        </w:rPr>
        <w:t xml:space="preserve"> выросло за квартал на 0,6 млн или на 0,4 млн с начала года и насчитывает 22,9 млн человек.</w:t>
      </w:r>
      <w:r w:rsidR="001803AC" w:rsidRPr="005A187D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58D014B2" w14:textId="43B2CE7C" w:rsidR="001803AC" w:rsidRPr="002652B2" w:rsidRDefault="002652B2" w:rsidP="00F664D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652B2">
        <w:rPr>
          <w:rFonts w:ascii="Arial" w:eastAsia="+mn-ea" w:hAnsi="Arial" w:cs="Arial"/>
          <w:b/>
          <w:bCs/>
          <w:kern w:val="24"/>
          <w:sz w:val="24"/>
          <w:szCs w:val="24"/>
        </w:rPr>
        <w:t>Розничный кредитный портфель</w:t>
      </w:r>
      <w:r w:rsidRPr="002652B2">
        <w:rPr>
          <w:rFonts w:ascii="Arial" w:eastAsia="+mn-ea" w:hAnsi="Arial" w:cs="Arial"/>
          <w:kern w:val="24"/>
          <w:sz w:val="24"/>
          <w:szCs w:val="24"/>
        </w:rPr>
        <w:t xml:space="preserve"> вырос на 3,8% за 4 квартал или на 6,0% с начала года, составив 19,2 трлн руб. Доходность розничных кредитов снизилась на 1 </w:t>
      </w:r>
      <w:proofErr w:type="spellStart"/>
      <w:r w:rsidRPr="002652B2">
        <w:rPr>
          <w:rFonts w:ascii="Arial" w:eastAsia="+mn-ea" w:hAnsi="Arial" w:cs="Arial"/>
          <w:kern w:val="24"/>
          <w:sz w:val="24"/>
          <w:szCs w:val="24"/>
        </w:rPr>
        <w:t>бп</w:t>
      </w:r>
      <w:proofErr w:type="spellEnd"/>
      <w:r w:rsidRPr="002652B2">
        <w:rPr>
          <w:rFonts w:ascii="Arial" w:eastAsia="+mn-ea" w:hAnsi="Arial" w:cs="Arial"/>
          <w:kern w:val="24"/>
          <w:sz w:val="24"/>
          <w:szCs w:val="24"/>
        </w:rPr>
        <w:t xml:space="preserve"> за 4 квартал 2025 г. до 16,9%.</w:t>
      </w:r>
    </w:p>
    <w:p w14:paraId="41B6D3B8" w14:textId="77777777" w:rsidR="00F025D8" w:rsidRPr="005A187D" w:rsidRDefault="00F025D8" w:rsidP="007F69E1">
      <w:pPr>
        <w:numPr>
          <w:ilvl w:val="0"/>
          <w:numId w:val="12"/>
        </w:numPr>
        <w:spacing w:before="120" w:after="120" w:line="264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  <w:sectPr w:rsidR="00F025D8" w:rsidRPr="005A187D" w:rsidSect="00F025D8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1DE518A1" w14:textId="3A924943" w:rsidR="001803AC" w:rsidRPr="005A187D" w:rsidRDefault="002652B2" w:rsidP="007F69E1">
      <w:pPr>
        <w:numPr>
          <w:ilvl w:val="1"/>
          <w:numId w:val="12"/>
        </w:numPr>
        <w:spacing w:before="120" w:after="120" w:line="264" w:lineRule="auto"/>
        <w:ind w:hanging="357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2652B2">
        <w:rPr>
          <w:rFonts w:ascii="Arial" w:eastAsia="+mn-ea" w:hAnsi="Arial" w:cs="Arial"/>
          <w:kern w:val="24"/>
          <w:sz w:val="24"/>
          <w:szCs w:val="24"/>
        </w:rPr>
        <w:t xml:space="preserve">Доля </w:t>
      </w:r>
      <w:proofErr w:type="spellStart"/>
      <w:r w:rsidRPr="002652B2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2652B2">
        <w:rPr>
          <w:rFonts w:ascii="Arial" w:eastAsia="+mn-ea" w:hAnsi="Arial" w:cs="Arial"/>
          <w:kern w:val="24"/>
          <w:sz w:val="24"/>
          <w:szCs w:val="24"/>
        </w:rPr>
        <w:t xml:space="preserve"> на рынке розничного кредитования выросла на 1,0 </w:t>
      </w:r>
      <w:proofErr w:type="spellStart"/>
      <w:r w:rsidRPr="002652B2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2652B2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1,4 </w:t>
      </w:r>
      <w:proofErr w:type="spellStart"/>
      <w:r w:rsidRPr="002652B2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2652B2">
        <w:rPr>
          <w:rFonts w:ascii="Arial" w:eastAsia="+mn-ea" w:hAnsi="Arial" w:cs="Arial"/>
          <w:kern w:val="24"/>
          <w:sz w:val="24"/>
          <w:szCs w:val="24"/>
        </w:rPr>
        <w:t xml:space="preserve"> с начала года до 49,4%</w:t>
      </w:r>
      <w:r w:rsidRPr="0084429C">
        <w:rPr>
          <w:rFonts w:ascii="Arial" w:eastAsia="+mn-ea" w:hAnsi="Arial" w:cs="Arial"/>
          <w:kern w:val="24"/>
          <w:sz w:val="24"/>
          <w:szCs w:val="24"/>
          <w:vertAlign w:val="superscript"/>
        </w:rPr>
        <w:t>10</w:t>
      </w:r>
      <w:r w:rsidRPr="002652B2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78EEA9B5" w14:textId="3862D276" w:rsidR="001803AC" w:rsidRPr="0084429C" w:rsidRDefault="0084429C" w:rsidP="0084429C">
      <w:pPr>
        <w:numPr>
          <w:ilvl w:val="0"/>
          <w:numId w:val="12"/>
        </w:numPr>
        <w:spacing w:before="120" w:after="120" w:line="264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84429C">
        <w:rPr>
          <w:rFonts w:ascii="Arial" w:eastAsia="+mn-ea" w:hAnsi="Arial" w:cs="Arial"/>
          <w:b/>
          <w:bCs/>
          <w:kern w:val="24"/>
          <w:sz w:val="24"/>
          <w:szCs w:val="24"/>
        </w:rPr>
        <w:t>Ипотечный портфель</w:t>
      </w:r>
      <w:r w:rsidRPr="0084429C">
        <w:rPr>
          <w:rFonts w:ascii="Arial" w:eastAsia="+mn-ea" w:hAnsi="Arial" w:cs="Arial"/>
          <w:kern w:val="24"/>
          <w:sz w:val="24"/>
          <w:szCs w:val="24"/>
        </w:rPr>
        <w:t xml:space="preserve"> вырос на 6,2% за 4 квартал 2025 г. или на 11,6% с начала года и составил 12,5 трлн руб.</w:t>
      </w:r>
    </w:p>
    <w:p w14:paraId="76F1810F" w14:textId="4CA32FA5" w:rsidR="00492864" w:rsidRPr="0084429C" w:rsidRDefault="0084429C" w:rsidP="00F664DD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84429C">
        <w:rPr>
          <w:rFonts w:ascii="Arial" w:eastAsia="+mn-ea" w:hAnsi="Arial" w:cs="Arial"/>
          <w:kern w:val="24"/>
          <w:sz w:val="24"/>
          <w:szCs w:val="24"/>
        </w:rPr>
        <w:t>Выдачи ипотечных кредитов составили рекордные 1,3 трлн руб. в 4 квартале 2025 г. с ростом в 1,5 раза г/г на фоне ожидаемых изменений в государственной программе семейной ипотеки.</w:t>
      </w:r>
    </w:p>
    <w:p w14:paraId="127A8B08" w14:textId="38158EDF" w:rsidR="0084429C" w:rsidRPr="0084429C" w:rsidRDefault="0084429C" w:rsidP="00F664DD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84429C">
        <w:rPr>
          <w:rFonts w:ascii="Arial" w:eastAsia="+mn-ea" w:hAnsi="Arial" w:cs="Arial"/>
          <w:kern w:val="24"/>
          <w:sz w:val="24"/>
          <w:szCs w:val="24"/>
        </w:rPr>
        <w:t xml:space="preserve">Доля </w:t>
      </w:r>
      <w:proofErr w:type="spellStart"/>
      <w:r w:rsidRPr="0084429C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84429C">
        <w:rPr>
          <w:rFonts w:ascii="Arial" w:eastAsia="+mn-ea" w:hAnsi="Arial" w:cs="Arial"/>
          <w:kern w:val="24"/>
          <w:sz w:val="24"/>
          <w:szCs w:val="24"/>
        </w:rPr>
        <w:t xml:space="preserve"> на рынке ипотеки выросла на 1,4 </w:t>
      </w:r>
      <w:proofErr w:type="spellStart"/>
      <w:r w:rsidRPr="0084429C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84429C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2,6 </w:t>
      </w:r>
      <w:proofErr w:type="spellStart"/>
      <w:r w:rsidRPr="0084429C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84429C">
        <w:rPr>
          <w:rFonts w:ascii="Arial" w:eastAsia="+mn-ea" w:hAnsi="Arial" w:cs="Arial"/>
          <w:kern w:val="24"/>
          <w:sz w:val="24"/>
          <w:szCs w:val="24"/>
        </w:rPr>
        <w:t xml:space="preserve"> с начала года до 57,0%</w:t>
      </w:r>
      <w:r w:rsidRPr="0084429C">
        <w:rPr>
          <w:rFonts w:ascii="Arial" w:eastAsia="+mn-ea" w:hAnsi="Arial" w:cs="Arial"/>
          <w:kern w:val="24"/>
          <w:sz w:val="24"/>
          <w:szCs w:val="24"/>
          <w:vertAlign w:val="superscript"/>
        </w:rPr>
        <w:t>10</w:t>
      </w:r>
      <w:r w:rsidRPr="0084429C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29F1037A" w14:textId="123BB275" w:rsidR="001803AC" w:rsidRPr="00057D44" w:rsidRDefault="00377A36" w:rsidP="00F664DD">
      <w:pPr>
        <w:numPr>
          <w:ilvl w:val="0"/>
          <w:numId w:val="12"/>
        </w:numPr>
        <w:spacing w:before="120" w:after="120" w:line="240" w:lineRule="auto"/>
        <w:ind w:left="714" w:hanging="357"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</w:pPr>
      <w:r w:rsidRPr="00377A36">
        <w:rPr>
          <w:rFonts w:ascii="Arial" w:eastAsia="+mn-ea" w:hAnsi="Arial" w:cs="Arial"/>
          <w:b/>
          <w:bCs/>
          <w:kern w:val="24"/>
          <w:sz w:val="24"/>
          <w:szCs w:val="24"/>
        </w:rPr>
        <w:t>Портфель потребительских кредитов</w:t>
      </w:r>
      <w:r w:rsidRPr="00377A36">
        <w:rPr>
          <w:rFonts w:ascii="Arial" w:eastAsia="+mn-ea" w:hAnsi="Arial" w:cs="Arial"/>
          <w:kern w:val="24"/>
          <w:sz w:val="24"/>
          <w:szCs w:val="24"/>
        </w:rPr>
        <w:t xml:space="preserve"> снизился за квартал на 2,3% или на 12,6% с начала года до 3,5 трлн руб. под давлением высоких ставок в экономике и ужесточения регулирования.</w:t>
      </w:r>
    </w:p>
    <w:p w14:paraId="2377DD03" w14:textId="59C5F898" w:rsidR="00057D44" w:rsidRPr="00057D44" w:rsidRDefault="00057D44" w:rsidP="00057D44">
      <w:pPr>
        <w:numPr>
          <w:ilvl w:val="1"/>
          <w:numId w:val="12"/>
        </w:numPr>
        <w:spacing w:before="120" w:after="120" w:line="264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057D44">
        <w:rPr>
          <w:rFonts w:ascii="Arial" w:eastAsia="+mn-ea" w:hAnsi="Arial" w:cs="Arial"/>
          <w:kern w:val="24"/>
          <w:sz w:val="24"/>
          <w:szCs w:val="24"/>
        </w:rPr>
        <w:t>Выдачи потребительских кредитов составили 502 млрд руб. в 4 квартале 2025 г.</w:t>
      </w:r>
    </w:p>
    <w:p w14:paraId="515DB8E2" w14:textId="402728EA" w:rsidR="00057D44" w:rsidRPr="00057D44" w:rsidRDefault="00057D44" w:rsidP="00F664DD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Доля </w:t>
      </w:r>
      <w:proofErr w:type="spellStart"/>
      <w:r w:rsidRPr="00057D44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на рынке потребительского кредитования выросла на 0,9 </w:t>
      </w:r>
      <w:proofErr w:type="spellStart"/>
      <w:r w:rsidRPr="00057D44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0,5 </w:t>
      </w:r>
      <w:proofErr w:type="spellStart"/>
      <w:r w:rsidRPr="00057D44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с начала год</w:t>
      </w:r>
      <w:r w:rsidR="00B217F4">
        <w:rPr>
          <w:rFonts w:ascii="Arial" w:eastAsia="+mn-ea" w:hAnsi="Arial" w:cs="Arial"/>
          <w:kern w:val="24"/>
          <w:sz w:val="24"/>
          <w:szCs w:val="24"/>
        </w:rPr>
        <w:t>а</w:t>
      </w:r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до 39,1%.</w:t>
      </w:r>
    </w:p>
    <w:p w14:paraId="1E1F2FDF" w14:textId="5FB7B72D" w:rsidR="001803AC" w:rsidRPr="00057D44" w:rsidRDefault="00057D44" w:rsidP="00057D44">
      <w:pPr>
        <w:numPr>
          <w:ilvl w:val="0"/>
          <w:numId w:val="12"/>
        </w:numPr>
        <w:spacing w:before="120" w:after="120" w:line="264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057D44">
        <w:rPr>
          <w:rFonts w:ascii="Arial" w:eastAsia="+mn-ea" w:hAnsi="Arial" w:cs="Arial"/>
          <w:b/>
          <w:bCs/>
          <w:kern w:val="24"/>
          <w:sz w:val="24"/>
          <w:szCs w:val="24"/>
        </w:rPr>
        <w:t>Портфель кредитных карт</w:t>
      </w:r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снизился на 0,8% за 4 квартал. С начала года он вырос на 7,4% и составил 2,5 трлн руб.</w:t>
      </w:r>
    </w:p>
    <w:p w14:paraId="2D7C3B9B" w14:textId="16984078" w:rsidR="001803AC" w:rsidRDefault="00057D44" w:rsidP="00F664DD">
      <w:pPr>
        <w:numPr>
          <w:ilvl w:val="1"/>
          <w:numId w:val="12"/>
        </w:numPr>
        <w:spacing w:before="120" w:after="120" w:line="240" w:lineRule="auto"/>
        <w:ind w:hanging="357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Доля </w:t>
      </w:r>
      <w:proofErr w:type="spellStart"/>
      <w:r w:rsidRPr="00057D44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на рынке кредитных карт выросла на 0,5 </w:t>
      </w:r>
      <w:proofErr w:type="spellStart"/>
      <w:r w:rsidRPr="00057D44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1,4 </w:t>
      </w:r>
      <w:proofErr w:type="spellStart"/>
      <w:r w:rsidRPr="00057D44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057D44">
        <w:rPr>
          <w:rFonts w:ascii="Arial" w:eastAsia="+mn-ea" w:hAnsi="Arial" w:cs="Arial"/>
          <w:kern w:val="24"/>
          <w:sz w:val="24"/>
          <w:szCs w:val="24"/>
        </w:rPr>
        <w:t xml:space="preserve"> с начала года до 54,4%.</w:t>
      </w:r>
    </w:p>
    <w:p w14:paraId="546D9789" w14:textId="30850852" w:rsidR="00700485" w:rsidRPr="005A187D" w:rsidRDefault="00700485" w:rsidP="00F664DD">
      <w:pPr>
        <w:numPr>
          <w:ilvl w:val="1"/>
          <w:numId w:val="12"/>
        </w:numPr>
        <w:spacing w:before="120" w:after="120" w:line="240" w:lineRule="auto"/>
        <w:ind w:hanging="357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700485">
        <w:rPr>
          <w:rFonts w:ascii="Arial" w:eastAsia="+mn-ea" w:hAnsi="Arial" w:cs="Arial"/>
          <w:kern w:val="24"/>
          <w:sz w:val="24"/>
          <w:szCs w:val="24"/>
        </w:rPr>
        <w:t xml:space="preserve">В 4 квартале </w:t>
      </w:r>
      <w:proofErr w:type="spellStart"/>
      <w:r w:rsidRPr="00700485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700485">
        <w:rPr>
          <w:rFonts w:ascii="Arial" w:eastAsia="+mn-ea" w:hAnsi="Arial" w:cs="Arial"/>
          <w:kern w:val="24"/>
          <w:sz w:val="24"/>
          <w:szCs w:val="24"/>
        </w:rPr>
        <w:t xml:space="preserve"> внедрил AI-агента для консультаций по задолженности по кредитным картам, упростив клиентский путь.</w:t>
      </w:r>
    </w:p>
    <w:p w14:paraId="120768A0" w14:textId="591E398A" w:rsidR="001803AC" w:rsidRPr="00675A6D" w:rsidRDefault="00675A6D" w:rsidP="00675A6D">
      <w:pPr>
        <w:numPr>
          <w:ilvl w:val="0"/>
          <w:numId w:val="12"/>
        </w:numPr>
        <w:spacing w:before="120" w:after="120" w:line="264" w:lineRule="auto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675A6D">
        <w:rPr>
          <w:rFonts w:ascii="Arial" w:eastAsia="+mn-ea" w:hAnsi="Arial" w:cs="Arial"/>
          <w:b/>
          <w:bCs/>
          <w:kern w:val="24"/>
          <w:sz w:val="24"/>
          <w:szCs w:val="24"/>
        </w:rPr>
        <w:t>Портфель автокредитов</w:t>
      </w:r>
      <w:r w:rsidRPr="00675A6D">
        <w:rPr>
          <w:rFonts w:ascii="Arial" w:eastAsia="+mn-ea" w:hAnsi="Arial" w:cs="Arial"/>
          <w:kern w:val="24"/>
          <w:sz w:val="24"/>
          <w:szCs w:val="24"/>
        </w:rPr>
        <w:t xml:space="preserve"> вырос на 12,5% за 4 квартал (+20,5% с начала года), составив 0,7 трлн руб.</w:t>
      </w:r>
    </w:p>
    <w:p w14:paraId="41458842" w14:textId="77777777" w:rsidR="00D72891" w:rsidRPr="005A187D" w:rsidRDefault="00D72891" w:rsidP="007F69E1">
      <w:pPr>
        <w:numPr>
          <w:ilvl w:val="0"/>
          <w:numId w:val="12"/>
        </w:numPr>
        <w:spacing w:before="120" w:after="120" w:line="264" w:lineRule="auto"/>
        <w:ind w:hanging="357"/>
        <w:jc w:val="both"/>
        <w:rPr>
          <w:rFonts w:ascii="Arial" w:eastAsia="+mn-ea" w:hAnsi="Arial" w:cs="Arial"/>
          <w:kern w:val="24"/>
          <w:sz w:val="24"/>
          <w:szCs w:val="24"/>
        </w:rPr>
        <w:sectPr w:rsidR="00D72891" w:rsidRPr="005A187D" w:rsidSect="00257440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2389266B" w14:textId="7F8529FA" w:rsidR="001803AC" w:rsidRPr="005A187D" w:rsidRDefault="00AB52C5" w:rsidP="007F69E1">
      <w:pPr>
        <w:numPr>
          <w:ilvl w:val="1"/>
          <w:numId w:val="12"/>
        </w:numPr>
        <w:spacing w:before="120" w:after="120" w:line="264" w:lineRule="auto"/>
        <w:ind w:hanging="357"/>
        <w:jc w:val="both"/>
        <w:rPr>
          <w:rFonts w:ascii="Arial" w:eastAsia="Times New Roman" w:hAnsi="Arial" w:cs="Arial"/>
          <w:sz w:val="24"/>
          <w:szCs w:val="24"/>
        </w:rPr>
      </w:pPr>
      <w:r w:rsidRPr="00AB52C5">
        <w:rPr>
          <w:rFonts w:ascii="Arial" w:eastAsia="+mn-ea" w:hAnsi="Arial" w:cs="Arial"/>
          <w:kern w:val="24"/>
          <w:sz w:val="24"/>
          <w:szCs w:val="24"/>
        </w:rPr>
        <w:t xml:space="preserve">Доля </w:t>
      </w:r>
      <w:proofErr w:type="spellStart"/>
      <w:r w:rsidRPr="00AB52C5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AB52C5">
        <w:rPr>
          <w:rFonts w:ascii="Arial" w:eastAsia="+mn-ea" w:hAnsi="Arial" w:cs="Arial"/>
          <w:kern w:val="24"/>
          <w:sz w:val="24"/>
          <w:szCs w:val="24"/>
        </w:rPr>
        <w:t xml:space="preserve"> на рынке автокредитования выросла на 1,3 </w:t>
      </w:r>
      <w:proofErr w:type="spellStart"/>
      <w:r w:rsidRPr="00AB52C5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AB52C5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1,1 </w:t>
      </w:r>
      <w:proofErr w:type="spellStart"/>
      <w:r w:rsidRPr="00AB52C5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AB52C5">
        <w:rPr>
          <w:rFonts w:ascii="Arial" w:eastAsia="+mn-ea" w:hAnsi="Arial" w:cs="Arial"/>
          <w:kern w:val="24"/>
          <w:sz w:val="24"/>
          <w:szCs w:val="24"/>
        </w:rPr>
        <w:t xml:space="preserve"> с начала года до 20,0%</w:t>
      </w:r>
      <w:r w:rsidRPr="00AB52C5">
        <w:rPr>
          <w:rFonts w:ascii="Arial" w:eastAsia="+mn-ea" w:hAnsi="Arial" w:cs="Arial"/>
          <w:kern w:val="24"/>
          <w:sz w:val="24"/>
          <w:szCs w:val="24"/>
          <w:vertAlign w:val="superscript"/>
        </w:rPr>
        <w:t>11</w:t>
      </w:r>
      <w:r w:rsidRPr="00AB52C5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5F939390" w14:textId="3BC34459" w:rsidR="001803AC" w:rsidRPr="0082771F" w:rsidRDefault="0082771F" w:rsidP="00F664D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771F">
        <w:rPr>
          <w:rFonts w:ascii="Arial" w:eastAsia="+mn-ea" w:hAnsi="Arial" w:cs="Arial"/>
          <w:b/>
          <w:bCs/>
          <w:kern w:val="24"/>
          <w:sz w:val="24"/>
          <w:szCs w:val="24"/>
        </w:rPr>
        <w:t>Средства физических лиц</w:t>
      </w:r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 выросли до 33,5 трлн руб., показав уверенный рост на 10,4% за квартал (+10,7% без учета валютной переоценки</w:t>
      </w:r>
      <w:r w:rsidRPr="0082771F">
        <w:rPr>
          <w:rFonts w:ascii="Arial" w:eastAsia="+mn-ea" w:hAnsi="Arial" w:cs="Arial"/>
          <w:kern w:val="24"/>
          <w:sz w:val="24"/>
          <w:szCs w:val="24"/>
          <w:vertAlign w:val="superscript"/>
        </w:rPr>
        <w:t>7</w:t>
      </w:r>
      <w:r w:rsidRPr="0082771F">
        <w:rPr>
          <w:rFonts w:ascii="Arial" w:eastAsia="+mn-ea" w:hAnsi="Arial" w:cs="Arial"/>
          <w:kern w:val="24"/>
          <w:sz w:val="24"/>
          <w:szCs w:val="24"/>
        </w:rPr>
        <w:t>) или на 20,3% с начала года (+22,1% без учета валютной переоценки</w:t>
      </w:r>
      <w:r w:rsidRPr="0082771F">
        <w:rPr>
          <w:rFonts w:ascii="Arial" w:eastAsia="+mn-ea" w:hAnsi="Arial" w:cs="Arial"/>
          <w:kern w:val="24"/>
          <w:sz w:val="24"/>
          <w:szCs w:val="24"/>
          <w:vertAlign w:val="superscript"/>
        </w:rPr>
        <w:t>7</w:t>
      </w:r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). Стоимость средств физических лиц снизилась на 12 </w:t>
      </w:r>
      <w:proofErr w:type="spellStart"/>
      <w:r w:rsidRPr="0082771F">
        <w:rPr>
          <w:rFonts w:ascii="Arial" w:eastAsia="+mn-ea" w:hAnsi="Arial" w:cs="Arial"/>
          <w:kern w:val="24"/>
          <w:sz w:val="24"/>
          <w:szCs w:val="24"/>
        </w:rPr>
        <w:t>бп</w:t>
      </w:r>
      <w:proofErr w:type="spellEnd"/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 за 4 квартал 2025 г. до 9,5%.</w:t>
      </w:r>
    </w:p>
    <w:p w14:paraId="3B90DA19" w14:textId="2E44806F" w:rsidR="001803AC" w:rsidRPr="005A187D" w:rsidRDefault="0082771F" w:rsidP="00F664DD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Рыночная доля </w:t>
      </w:r>
      <w:proofErr w:type="spellStart"/>
      <w:r w:rsidRPr="0082771F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 в средствах частных клиентов выросла на 1,2 </w:t>
      </w:r>
      <w:proofErr w:type="spellStart"/>
      <w:r w:rsidRPr="0082771F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1,9 </w:t>
      </w:r>
      <w:proofErr w:type="spellStart"/>
      <w:r w:rsidRPr="0082771F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82771F">
        <w:rPr>
          <w:rFonts w:ascii="Arial" w:eastAsia="+mn-ea" w:hAnsi="Arial" w:cs="Arial"/>
          <w:kern w:val="24"/>
          <w:sz w:val="24"/>
          <w:szCs w:val="24"/>
        </w:rPr>
        <w:t xml:space="preserve"> с начала года и составила 44,2%.</w:t>
      </w:r>
      <w:r w:rsidR="001803AC" w:rsidRPr="005A187D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3F0BC24E" w14:textId="77777777" w:rsidR="001803AC" w:rsidRPr="005A187D" w:rsidRDefault="001803AC" w:rsidP="00870F60">
      <w:pPr>
        <w:spacing w:after="120" w:line="273" w:lineRule="auto"/>
        <w:jc w:val="both"/>
        <w:rPr>
          <w:rFonts w:ascii="Arial" w:eastAsia="Times New Roman" w:hAnsi="Arial" w:cs="Arial"/>
          <w:sz w:val="24"/>
          <w:szCs w:val="24"/>
        </w:rPr>
        <w:sectPr w:rsidR="001803AC" w:rsidRPr="005A187D" w:rsidSect="00257440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412A0047" w14:textId="77777777" w:rsidR="00870F60" w:rsidRPr="005A187D" w:rsidRDefault="00870F60" w:rsidP="00870F60">
      <w:pPr>
        <w:spacing w:after="120" w:line="273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598AC0" w14:textId="77777777" w:rsidR="007D4886" w:rsidRDefault="007D4886" w:rsidP="007D4886">
      <w:pPr>
        <w:pStyle w:val="a8"/>
        <w:spacing w:before="0" w:beforeAutospacing="0" w:after="0" w:afterAutospacing="0"/>
        <w:rPr>
          <w:rFonts w:ascii="Arial" w:eastAsia="+mn-ea" w:hAnsi="Arial" w:cs="Arial"/>
          <w:b/>
          <w:bCs/>
          <w:kern w:val="24"/>
        </w:rPr>
      </w:pPr>
      <w:r w:rsidRPr="005A187D">
        <w:rPr>
          <w:rFonts w:ascii="Arial" w:eastAsia="+mn-ea" w:hAnsi="Arial" w:cs="Arial"/>
          <w:b/>
          <w:bCs/>
          <w:kern w:val="24"/>
        </w:rPr>
        <w:t>Основные показатели качества кредитного портфеля</w:t>
      </w:r>
    </w:p>
    <w:p w14:paraId="670783CD" w14:textId="77777777" w:rsidR="003A70D3" w:rsidRPr="005A187D" w:rsidRDefault="003A70D3" w:rsidP="007D4886">
      <w:pPr>
        <w:pStyle w:val="a8"/>
        <w:spacing w:before="0" w:beforeAutospacing="0" w:after="0" w:afterAutospacing="0"/>
        <w:rPr>
          <w:rFonts w:ascii="Arial" w:eastAsia="+mn-ea" w:hAnsi="Arial" w:cs="Arial"/>
          <w:b/>
          <w:bCs/>
          <w:kern w:val="24"/>
        </w:rPr>
      </w:pPr>
    </w:p>
    <w:tbl>
      <w:tblPr>
        <w:tblW w:w="4792" w:type="pct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953"/>
        <w:gridCol w:w="998"/>
        <w:gridCol w:w="1436"/>
        <w:gridCol w:w="1559"/>
        <w:gridCol w:w="1277"/>
        <w:gridCol w:w="1557"/>
      </w:tblGrid>
      <w:tr w:rsidR="00713639" w:rsidRPr="008D3012" w14:paraId="4A97AEF1" w14:textId="77777777" w:rsidTr="00713639">
        <w:trPr>
          <w:trHeight w:val="243"/>
        </w:trPr>
        <w:tc>
          <w:tcPr>
            <w:tcW w:w="1510" w:type="pct"/>
            <w:tcBorders>
              <w:top w:val="nil"/>
              <w:left w:val="nil"/>
              <w:bottom w:val="single" w:sz="8" w:space="0" w:color="00AC84"/>
              <w:right w:val="nil"/>
            </w:tcBorders>
            <w:tcMar>
              <w:top w:w="57" w:type="dxa"/>
              <w:left w:w="142" w:type="dxa"/>
              <w:bottom w:w="57" w:type="dxa"/>
              <w:right w:w="227" w:type="dxa"/>
            </w:tcMar>
            <w:vAlign w:val="center"/>
            <w:hideMark/>
          </w:tcPr>
          <w:p w14:paraId="1491CDDD" w14:textId="77777777" w:rsidR="00713639" w:rsidRPr="007F4F22" w:rsidRDefault="00713639" w:rsidP="007977B8">
            <w:pPr>
              <w:spacing w:after="0" w:line="240" w:lineRule="auto"/>
              <w:rPr>
                <w:rFonts w:ascii="SB Sans Text Light" w:hAnsi="SB Sans Text Light" w:cs="SB Sans Text Light"/>
                <w:sz w:val="14"/>
                <w:szCs w:val="14"/>
              </w:rPr>
            </w:pPr>
            <w:r w:rsidRPr="007F4F22">
              <w:rPr>
                <w:rFonts w:ascii="SB Sans Text Light" w:hAnsi="SB Sans Text Light" w:cs="SB Sans Text Light"/>
                <w:sz w:val="14"/>
                <w:szCs w:val="14"/>
              </w:rPr>
              <w:t>в процентах, если не указано иное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</w:tcPr>
          <w:p w14:paraId="3893521B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 Light" w:hAnsi="SB Sans Text Light" w:cs="SB Sans Text Light"/>
                <w:sz w:val="16"/>
                <w:szCs w:val="14"/>
              </w:rPr>
            </w:pPr>
            <w:r>
              <w:rPr>
                <w:rFonts w:ascii="SB Sans Text Light" w:hAnsi="SB Sans Text Light" w:cs="SB Sans Text Light"/>
                <w:sz w:val="16"/>
                <w:szCs w:val="14"/>
              </w:rPr>
              <w:t>31.12</w:t>
            </w:r>
            <w:r w:rsidRPr="007F4F22">
              <w:rPr>
                <w:rFonts w:ascii="SB Sans Text Light" w:hAnsi="SB Sans Text Light" w:cs="SB Sans Text Light"/>
                <w:sz w:val="16"/>
                <w:szCs w:val="14"/>
              </w:rPr>
              <w:t>.2025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06C19FD7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 Light" w:hAnsi="SB Sans Text Light" w:cs="SB Sans Text Light"/>
                <w:sz w:val="16"/>
                <w:szCs w:val="14"/>
              </w:rPr>
            </w:pPr>
            <w:r>
              <w:rPr>
                <w:rFonts w:ascii="SB Sans Text Light" w:hAnsi="SB Sans Text Light" w:cs="SB Sans Text Light"/>
                <w:sz w:val="16"/>
                <w:szCs w:val="14"/>
              </w:rPr>
              <w:t>30.09</w:t>
            </w:r>
            <w:r w:rsidRPr="007F4F22">
              <w:rPr>
                <w:rFonts w:ascii="SB Sans Text Light" w:hAnsi="SB Sans Text Light" w:cs="SB Sans Text Light"/>
                <w:sz w:val="16"/>
                <w:szCs w:val="14"/>
              </w:rPr>
              <w:t>.2025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FFFFF"/>
            <w:tcMar>
              <w:top w:w="57" w:type="dxa"/>
              <w:left w:w="15" w:type="dxa"/>
              <w:bottom w:w="57" w:type="dxa"/>
              <w:right w:w="113" w:type="dxa"/>
            </w:tcMar>
            <w:vAlign w:val="center"/>
            <w:hideMark/>
          </w:tcPr>
          <w:p w14:paraId="1F1B3F10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 Light" w:hAnsi="SB Sans Text Light" w:cs="SB Sans Text Light"/>
                <w:sz w:val="16"/>
                <w:szCs w:val="14"/>
              </w:rPr>
            </w:pPr>
            <w:r w:rsidRPr="007F4F22">
              <w:rPr>
                <w:rFonts w:ascii="SB Sans Text Light" w:hAnsi="SB Sans Text Light" w:cs="SB Sans Text Light"/>
                <w:sz w:val="16"/>
                <w:szCs w:val="14"/>
              </w:rPr>
              <w:t>31.12.2024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734EFC5C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 Light" w:hAnsi="SB Sans Text Light" w:cs="SB Sans Text Light"/>
                <w:i/>
                <w:iCs/>
                <w:sz w:val="16"/>
                <w:szCs w:val="14"/>
              </w:rPr>
            </w:pPr>
            <w:r w:rsidRPr="007F4F22">
              <w:rPr>
                <w:rFonts w:ascii="SB Sans Text Light" w:hAnsi="SB Sans Text Light" w:cs="SB Sans Text Light"/>
                <w:i/>
                <w:iCs/>
                <w:sz w:val="16"/>
                <w:szCs w:val="14"/>
              </w:rPr>
              <w:t xml:space="preserve">изменение </w:t>
            </w:r>
            <w:r w:rsidRPr="007F4F22">
              <w:rPr>
                <w:rFonts w:ascii="SB Sans Text Light" w:hAnsi="SB Sans Text Light" w:cs="SB Sans Text Light"/>
                <w:i/>
                <w:iCs/>
                <w:sz w:val="16"/>
                <w:szCs w:val="14"/>
              </w:rPr>
              <w:br/>
              <w:t>за квартал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AC84"/>
              <w:right w:val="nil"/>
            </w:tcBorders>
            <w:tcMar>
              <w:top w:w="57" w:type="dxa"/>
              <w:left w:w="15" w:type="dxa"/>
              <w:bottom w:w="57" w:type="dxa"/>
              <w:right w:w="113" w:type="dxa"/>
            </w:tcMar>
            <w:vAlign w:val="center"/>
            <w:hideMark/>
          </w:tcPr>
          <w:p w14:paraId="3834546D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 Light" w:hAnsi="SB Sans Text Light" w:cs="SB Sans Text Light"/>
                <w:sz w:val="16"/>
                <w:szCs w:val="14"/>
              </w:rPr>
            </w:pPr>
            <w:r w:rsidRPr="007F4F22">
              <w:rPr>
                <w:rFonts w:ascii="SB Sans Text Light" w:hAnsi="SB Sans Text Light" w:cs="SB Sans Text Light"/>
                <w:i/>
                <w:iCs/>
                <w:sz w:val="16"/>
                <w:szCs w:val="14"/>
              </w:rPr>
              <w:t xml:space="preserve">изменение </w:t>
            </w:r>
            <w:r w:rsidRPr="007F4F22">
              <w:rPr>
                <w:rFonts w:ascii="SB Sans Text Light" w:hAnsi="SB Sans Text Light" w:cs="SB Sans Text Light"/>
                <w:i/>
                <w:iCs/>
                <w:sz w:val="16"/>
                <w:szCs w:val="14"/>
              </w:rPr>
              <w:br/>
              <w:t>с начала года</w:t>
            </w:r>
          </w:p>
        </w:tc>
      </w:tr>
      <w:tr w:rsidR="00713639" w:rsidRPr="00101E2B" w14:paraId="7F0785D6" w14:textId="77777777" w:rsidTr="00713639">
        <w:trPr>
          <w:trHeight w:val="814"/>
        </w:trPr>
        <w:tc>
          <w:tcPr>
            <w:tcW w:w="1510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291F" w14:textId="77777777" w:rsidR="00713639" w:rsidRPr="007F4F22" w:rsidRDefault="00713639" w:rsidP="007977B8">
            <w:pPr>
              <w:spacing w:after="0" w:line="240" w:lineRule="auto"/>
              <w:rPr>
                <w:rFonts w:ascii="SB Sans Text" w:hAnsi="SB Sans Text" w:cs="SB Sans Text"/>
                <w:sz w:val="16"/>
                <w:szCs w:val="16"/>
              </w:rPr>
            </w:pPr>
            <w:r w:rsidRPr="007F4F22">
              <w:rPr>
                <w:rFonts w:ascii="SB Sans Text" w:hAnsi="SB Sans Text" w:cs="SB Sans Text"/>
                <w:sz w:val="16"/>
                <w:szCs w:val="16"/>
              </w:rPr>
              <w:t>Обесцененные кредиты, вкл. изначально обесцененные кредиты/ кредитный портфель (гросс)</w:t>
            </w:r>
          </w:p>
        </w:tc>
        <w:tc>
          <w:tcPr>
            <w:tcW w:w="510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1E794E60" w14:textId="77777777" w:rsidR="00713639" w:rsidRPr="00D81657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8"/>
              </w:rPr>
            </w:pPr>
            <w:r w:rsidRPr="00D81657">
              <w:rPr>
                <w:rFonts w:ascii="SB Sans Text" w:hAnsi="SB Sans Text" w:cs="SB Sans Text"/>
                <w:sz w:val="16"/>
                <w:szCs w:val="18"/>
              </w:rPr>
              <w:t>4</w:t>
            </w:r>
            <w:r>
              <w:rPr>
                <w:rFonts w:ascii="SB Sans Text" w:hAnsi="SB Sans Text" w:cs="SB Sans Text"/>
                <w:sz w:val="16"/>
                <w:szCs w:val="18"/>
              </w:rPr>
              <w:t>,</w:t>
            </w:r>
            <w:r w:rsidRPr="00D81657">
              <w:rPr>
                <w:rFonts w:ascii="SB Sans Text" w:hAnsi="SB Sans Text" w:cs="SB Sans Text"/>
                <w:sz w:val="16"/>
                <w:szCs w:val="18"/>
              </w:rPr>
              <w:t>9%</w:t>
            </w:r>
          </w:p>
        </w:tc>
        <w:tc>
          <w:tcPr>
            <w:tcW w:w="734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vAlign w:val="center"/>
          </w:tcPr>
          <w:p w14:paraId="2EC0709F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8"/>
              </w:rPr>
            </w:pPr>
            <w:r w:rsidRPr="007F4F22">
              <w:rPr>
                <w:rFonts w:ascii="SB Sans Text" w:hAnsi="SB Sans Text" w:cs="SB Sans Text"/>
                <w:sz w:val="16"/>
                <w:szCs w:val="18"/>
              </w:rPr>
              <w:t>4,</w:t>
            </w:r>
            <w:r>
              <w:rPr>
                <w:rFonts w:ascii="SB Sans Text" w:hAnsi="SB Sans Text" w:cs="SB Sans Text"/>
                <w:sz w:val="16"/>
                <w:szCs w:val="18"/>
              </w:rPr>
              <w:t>8</w:t>
            </w:r>
            <w:r w:rsidRPr="007F4F22">
              <w:rPr>
                <w:rFonts w:ascii="SB Sans Text" w:hAnsi="SB Sans Text" w:cs="SB Sans Text"/>
                <w:sz w:val="16"/>
                <w:szCs w:val="18"/>
              </w:rPr>
              <w:t>%</w:t>
            </w:r>
          </w:p>
        </w:tc>
        <w:tc>
          <w:tcPr>
            <w:tcW w:w="797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13" w:type="dxa"/>
            </w:tcMar>
            <w:vAlign w:val="center"/>
            <w:hideMark/>
          </w:tcPr>
          <w:p w14:paraId="56C184EA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8"/>
              </w:rPr>
            </w:pPr>
            <w:r w:rsidRPr="007F4F22">
              <w:rPr>
                <w:rFonts w:ascii="SB Sans Text" w:hAnsi="SB Sans Text" w:cs="SB Sans Text"/>
                <w:sz w:val="16"/>
                <w:szCs w:val="18"/>
              </w:rPr>
              <w:t>3,7%</w:t>
            </w:r>
          </w:p>
        </w:tc>
        <w:tc>
          <w:tcPr>
            <w:tcW w:w="653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vAlign w:val="center"/>
          </w:tcPr>
          <w:p w14:paraId="5914EE35" w14:textId="77777777" w:rsidR="00713639" w:rsidRPr="00D81657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iCs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>0,03</w:t>
            </w:r>
            <w:r>
              <w:rPr>
                <w:rFonts w:ascii="SB Sans Text" w:hAnsi="SB Sans Text" w:cs="SB Sans Text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96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tcMar>
              <w:top w:w="15" w:type="dxa"/>
              <w:left w:w="15" w:type="dxa"/>
              <w:bottom w:w="0" w:type="dxa"/>
              <w:right w:w="113" w:type="dxa"/>
            </w:tcMar>
            <w:vAlign w:val="center"/>
          </w:tcPr>
          <w:p w14:paraId="130341FF" w14:textId="77777777" w:rsidR="00713639" w:rsidRPr="00D81657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iCs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 xml:space="preserve">1,1 </w:t>
            </w:r>
            <w:proofErr w:type="spellStart"/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>пп</w:t>
            </w:r>
            <w:proofErr w:type="spellEnd"/>
          </w:p>
        </w:tc>
      </w:tr>
      <w:tr w:rsidR="00713639" w:rsidRPr="00101E2B" w14:paraId="6B75D79F" w14:textId="77777777" w:rsidTr="00713639">
        <w:trPr>
          <w:trHeight w:val="814"/>
        </w:trPr>
        <w:tc>
          <w:tcPr>
            <w:tcW w:w="1510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5767" w14:textId="77777777" w:rsidR="00713639" w:rsidRPr="007F4F22" w:rsidRDefault="00713639" w:rsidP="007977B8">
            <w:pPr>
              <w:spacing w:after="0" w:line="240" w:lineRule="auto"/>
              <w:rPr>
                <w:rFonts w:ascii="SB Sans Text" w:hAnsi="SB Sans Text" w:cs="SB Sans Text"/>
                <w:sz w:val="16"/>
                <w:szCs w:val="16"/>
              </w:rPr>
            </w:pPr>
            <w:r w:rsidRPr="007F4F22">
              <w:rPr>
                <w:rFonts w:ascii="SB Sans Text" w:hAnsi="SB Sans Text" w:cs="SB Sans Text"/>
                <w:sz w:val="16"/>
                <w:szCs w:val="16"/>
              </w:rPr>
              <w:t>Покрытие резервами обесцененных кредитов по амортизированной стоимости, в т.ч. изначально обесцененных кредитов</w:t>
            </w:r>
          </w:p>
        </w:tc>
        <w:tc>
          <w:tcPr>
            <w:tcW w:w="510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</w:tcPr>
          <w:p w14:paraId="2E740394" w14:textId="77777777" w:rsidR="00713639" w:rsidRPr="00D81657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8"/>
              </w:rPr>
            </w:pPr>
            <w:r w:rsidRPr="00D81657">
              <w:rPr>
                <w:rFonts w:ascii="SB Sans Text" w:hAnsi="SB Sans Text" w:cs="SB Sans Text"/>
                <w:sz w:val="16"/>
                <w:szCs w:val="18"/>
              </w:rPr>
              <w:t>105</w:t>
            </w:r>
            <w:r>
              <w:rPr>
                <w:rFonts w:ascii="SB Sans Text" w:hAnsi="SB Sans Text" w:cs="SB Sans Text"/>
                <w:sz w:val="16"/>
                <w:szCs w:val="18"/>
              </w:rPr>
              <w:t>,</w:t>
            </w:r>
            <w:r w:rsidRPr="00D81657">
              <w:rPr>
                <w:rFonts w:ascii="SB Sans Text" w:hAnsi="SB Sans Text" w:cs="SB Sans Text"/>
                <w:sz w:val="16"/>
                <w:szCs w:val="18"/>
              </w:rPr>
              <w:t>6%</w:t>
            </w:r>
          </w:p>
        </w:tc>
        <w:tc>
          <w:tcPr>
            <w:tcW w:w="734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vAlign w:val="center"/>
          </w:tcPr>
          <w:p w14:paraId="33BA1397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8"/>
              </w:rPr>
            </w:pPr>
            <w:r>
              <w:rPr>
                <w:rFonts w:ascii="SB Sans Text" w:hAnsi="SB Sans Text" w:cs="SB Sans Text"/>
                <w:sz w:val="16"/>
                <w:szCs w:val="18"/>
              </w:rPr>
              <w:t>108,2</w:t>
            </w:r>
            <w:r w:rsidRPr="007F4F22">
              <w:rPr>
                <w:rFonts w:ascii="SB Sans Text" w:hAnsi="SB Sans Text" w:cs="SB Sans Text"/>
                <w:sz w:val="16"/>
                <w:szCs w:val="18"/>
              </w:rPr>
              <w:t>%</w:t>
            </w:r>
          </w:p>
        </w:tc>
        <w:tc>
          <w:tcPr>
            <w:tcW w:w="797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13" w:type="dxa"/>
            </w:tcMar>
            <w:vAlign w:val="center"/>
            <w:hideMark/>
          </w:tcPr>
          <w:p w14:paraId="04C5B342" w14:textId="77777777" w:rsidR="00713639" w:rsidRPr="007F4F22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sz w:val="16"/>
                <w:szCs w:val="18"/>
              </w:rPr>
            </w:pPr>
            <w:r w:rsidRPr="007F4F22">
              <w:rPr>
                <w:rFonts w:ascii="SB Sans Text" w:hAnsi="SB Sans Text" w:cs="SB Sans Text"/>
                <w:sz w:val="16"/>
                <w:szCs w:val="18"/>
              </w:rPr>
              <w:t>125,1%</w:t>
            </w:r>
          </w:p>
        </w:tc>
        <w:tc>
          <w:tcPr>
            <w:tcW w:w="653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vAlign w:val="center"/>
          </w:tcPr>
          <w:p w14:paraId="2F7A9EAE" w14:textId="77777777" w:rsidR="00713639" w:rsidRPr="00D81657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iCs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 xml:space="preserve">-2,6 </w:t>
            </w:r>
            <w:proofErr w:type="spellStart"/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96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tcMar>
              <w:top w:w="15" w:type="dxa"/>
              <w:left w:w="15" w:type="dxa"/>
              <w:bottom w:w="0" w:type="dxa"/>
              <w:right w:w="113" w:type="dxa"/>
            </w:tcMar>
            <w:vAlign w:val="center"/>
          </w:tcPr>
          <w:p w14:paraId="0E26396E" w14:textId="77777777" w:rsidR="00713639" w:rsidRPr="00D81657" w:rsidRDefault="00713639" w:rsidP="007977B8">
            <w:pPr>
              <w:spacing w:after="0" w:line="240" w:lineRule="auto"/>
              <w:jc w:val="right"/>
              <w:rPr>
                <w:rFonts w:ascii="SB Sans Text" w:hAnsi="SB Sans Text" w:cs="SB Sans Text"/>
                <w:i/>
                <w:iCs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 xml:space="preserve">-19,5 </w:t>
            </w:r>
            <w:proofErr w:type="spellStart"/>
            <w:r>
              <w:rPr>
                <w:rFonts w:ascii="SB Sans Text" w:hAnsi="SB Sans Text" w:cs="SB Sans Text"/>
                <w:i/>
                <w:iCs/>
                <w:sz w:val="16"/>
                <w:szCs w:val="16"/>
              </w:rPr>
              <w:t>пп</w:t>
            </w:r>
            <w:proofErr w:type="spellEnd"/>
          </w:p>
        </w:tc>
      </w:tr>
    </w:tbl>
    <w:p w14:paraId="0A8A63C3" w14:textId="77777777" w:rsidR="009F1EAD" w:rsidRDefault="009F1EAD" w:rsidP="009F1EAD">
      <w:pPr>
        <w:spacing w:line="273" w:lineRule="auto"/>
        <w:jc w:val="both"/>
        <w:rPr>
          <w:rFonts w:ascii="SB Sans Text" w:eastAsia="+mn-ea" w:hAnsi="SB Sans Text" w:cs="+mn-cs"/>
          <w:b/>
          <w:bCs/>
          <w:color w:val="333F48"/>
          <w:kern w:val="24"/>
          <w:sz w:val="18"/>
          <w:szCs w:val="18"/>
        </w:rPr>
        <w:sectPr w:rsidR="009F1EAD" w:rsidSect="009B370D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112500B1" w14:textId="052065F6" w:rsidR="009F1EAD" w:rsidRPr="003A70D3" w:rsidRDefault="003A70D3" w:rsidP="00F664DD">
      <w:pPr>
        <w:spacing w:line="240" w:lineRule="auto"/>
        <w:jc w:val="both"/>
        <w:rPr>
          <w:rFonts w:ascii="Arial" w:eastAsia="+mn-ea" w:hAnsi="Arial" w:cs="Arial"/>
          <w:color w:val="000000" w:themeColor="text1"/>
          <w:kern w:val="24"/>
          <w:sz w:val="24"/>
          <w:szCs w:val="24"/>
        </w:rPr>
      </w:pPr>
      <w:r w:rsidRPr="003A70D3">
        <w:rPr>
          <w:rFonts w:ascii="Arial" w:eastAsia="+mn-ea" w:hAnsi="Arial" w:cs="Arial"/>
          <w:b/>
          <w:bCs/>
          <w:color w:val="000000" w:themeColor="text1"/>
          <w:kern w:val="24"/>
          <w:sz w:val="24"/>
          <w:szCs w:val="24"/>
        </w:rPr>
        <w:t xml:space="preserve">Качество совокупного кредитного портфеля </w:t>
      </w:r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в 4 квартале 2025 г. оставалось под давлением высоких процентных ставок в экономике. </w:t>
      </w:r>
      <w:r w:rsidRPr="003A70D3">
        <w:rPr>
          <w:rFonts w:ascii="Arial" w:eastAsia="+mn-ea" w:hAnsi="Arial" w:cs="Arial"/>
          <w:b/>
          <w:bCs/>
          <w:color w:val="000000" w:themeColor="text1"/>
          <w:kern w:val="24"/>
          <w:sz w:val="24"/>
          <w:szCs w:val="24"/>
        </w:rPr>
        <w:t>Доля кредитов 3 стадии</w:t>
      </w:r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, включая изначально обесцененные, выросла на 0,03 </w:t>
      </w:r>
      <w:proofErr w:type="spellStart"/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пп</w:t>
      </w:r>
      <w:proofErr w:type="spellEnd"/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до 4,86%, в основном за счет розничного сегмента.</w:t>
      </w:r>
      <w:r w:rsidR="009F1EAD"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</w:t>
      </w:r>
      <w:r w:rsidR="009F1EAD" w:rsidRPr="003A70D3">
        <w:rPr>
          <w:rFonts w:ascii="SB Sans Text" w:eastAsia="+mn-ea" w:hAnsi="SB Sans Text" w:cs="+mn-cs"/>
          <w:color w:val="000000" w:themeColor="text1"/>
          <w:kern w:val="24"/>
          <w:sz w:val="18"/>
          <w:szCs w:val="18"/>
        </w:rPr>
        <w:t xml:space="preserve">  </w:t>
      </w:r>
    </w:p>
    <w:p w14:paraId="539853C7" w14:textId="1145E2F5" w:rsidR="009F1EAD" w:rsidRPr="003A70D3" w:rsidRDefault="003A70D3" w:rsidP="00F664DD">
      <w:pPr>
        <w:spacing w:line="240" w:lineRule="auto"/>
        <w:jc w:val="both"/>
        <w:rPr>
          <w:rFonts w:ascii="Arial" w:eastAsia="+mn-ea" w:hAnsi="Arial" w:cs="Arial"/>
          <w:color w:val="000000" w:themeColor="text1"/>
          <w:kern w:val="24"/>
          <w:sz w:val="24"/>
          <w:szCs w:val="24"/>
        </w:rPr>
      </w:pPr>
      <w:r w:rsidRPr="003A70D3">
        <w:rPr>
          <w:rFonts w:ascii="Arial" w:eastAsia="+mn-ea" w:hAnsi="Arial" w:cs="Arial"/>
          <w:b/>
          <w:bCs/>
          <w:color w:val="000000" w:themeColor="text1"/>
          <w:kern w:val="24"/>
          <w:sz w:val="24"/>
          <w:szCs w:val="24"/>
        </w:rPr>
        <w:t>Отношение совокупного объема резервов к обесцененным кредитам</w:t>
      </w:r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снизилось на 2,6 </w:t>
      </w:r>
      <w:proofErr w:type="spellStart"/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пп</w:t>
      </w:r>
      <w:proofErr w:type="spellEnd"/>
      <w:r w:rsidRPr="003A70D3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за квартал до 105,6% за счет снижения уровня риска в новых выдачах.</w:t>
      </w:r>
    </w:p>
    <w:p w14:paraId="77D26CCC" w14:textId="5104B42A" w:rsidR="005A187D" w:rsidRPr="005A187D" w:rsidRDefault="005A187D" w:rsidP="009B370D">
      <w:pPr>
        <w:spacing w:before="120" w:line="240" w:lineRule="auto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sectPr w:rsidR="005A187D" w:rsidRPr="005A187D" w:rsidSect="008959B8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32F1A1C1" w14:textId="77777777" w:rsidR="000D21C4" w:rsidRDefault="000D21C4" w:rsidP="000D21C4">
      <w:pPr>
        <w:pStyle w:val="a8"/>
        <w:spacing w:before="0" w:beforeAutospacing="0" w:after="0" w:afterAutospacing="0"/>
        <w:rPr>
          <w:rFonts w:ascii="Arial" w:eastAsia="+mn-ea" w:hAnsi="Arial" w:cs="Arial"/>
          <w:b/>
          <w:bCs/>
          <w:kern w:val="24"/>
        </w:rPr>
      </w:pPr>
    </w:p>
    <w:p w14:paraId="0438646C" w14:textId="64A1EC43" w:rsidR="009F1EAD" w:rsidRDefault="008959B8" w:rsidP="000D21C4">
      <w:pPr>
        <w:pStyle w:val="a8"/>
        <w:spacing w:before="0" w:beforeAutospacing="0" w:after="0" w:afterAutospacing="0"/>
        <w:rPr>
          <w:rFonts w:ascii="Arial" w:eastAsia="+mn-ea" w:hAnsi="Arial" w:cs="Arial"/>
          <w:b/>
          <w:bCs/>
          <w:kern w:val="24"/>
        </w:rPr>
      </w:pPr>
      <w:r w:rsidRPr="005A187D">
        <w:rPr>
          <w:rFonts w:ascii="Arial" w:eastAsia="+mn-ea" w:hAnsi="Arial" w:cs="Arial"/>
          <w:b/>
          <w:bCs/>
          <w:kern w:val="24"/>
        </w:rPr>
        <w:t>Основные показатели достаточности капитала</w:t>
      </w:r>
    </w:p>
    <w:tbl>
      <w:tblPr>
        <w:tblW w:w="50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1217"/>
        <w:gridCol w:w="1439"/>
        <w:gridCol w:w="1441"/>
        <w:gridCol w:w="68"/>
        <w:gridCol w:w="1081"/>
        <w:gridCol w:w="1580"/>
      </w:tblGrid>
      <w:tr w:rsidR="00E07FC3" w:rsidRPr="003000DA" w14:paraId="2819CC9B" w14:textId="77777777" w:rsidTr="007977B8">
        <w:trPr>
          <w:trHeight w:val="359"/>
        </w:trPr>
        <w:tc>
          <w:tcPr>
            <w:tcW w:w="1703" w:type="pct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427E6167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000DA">
              <w:rPr>
                <w:rFonts w:ascii="SB Sans Text Light" w:eastAsia="Times New Roman" w:hAnsi="SB Sans Text Light" w:cs="SB Sans Text Light"/>
                <w:kern w:val="24"/>
                <w:sz w:val="14"/>
                <w:szCs w:val="14"/>
                <w:lang w:eastAsia="ru-RU"/>
              </w:rPr>
              <w:t>в млрд руб., если не указано иное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</w:tcPr>
          <w:p w14:paraId="056B7E52" w14:textId="77777777" w:rsidR="00E07FC3" w:rsidRPr="003000DA" w:rsidRDefault="00E07FC3" w:rsidP="00797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4"/>
                <w:lang w:eastAsia="ru-RU"/>
              </w:rPr>
            </w:pPr>
            <w:r w:rsidRPr="003000D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3</w:t>
            </w:r>
            <w:r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1</w:t>
            </w:r>
            <w:r w:rsidRPr="003000D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.</w:t>
            </w:r>
            <w:r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12</w:t>
            </w:r>
            <w:r w:rsidRPr="003000D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.2025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AC84"/>
              <w:right w:val="nil"/>
            </w:tcBorders>
          </w:tcPr>
          <w:p w14:paraId="07D9BCD3" w14:textId="77777777" w:rsidR="00E07FC3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</w:p>
          <w:p w14:paraId="472DA47F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30.09.2025</w:t>
            </w:r>
          </w:p>
          <w:p w14:paraId="3D0C7EAB" w14:textId="77777777" w:rsidR="00E07FC3" w:rsidRPr="003000D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AC84"/>
              <w:right w:val="nil"/>
            </w:tcBorders>
            <w:shd w:val="clear" w:color="auto" w:fill="FFFFFF"/>
            <w:tcMar>
              <w:top w:w="57" w:type="dxa"/>
              <w:left w:w="15" w:type="dxa"/>
              <w:bottom w:w="57" w:type="dxa"/>
              <w:right w:w="113" w:type="dxa"/>
            </w:tcMar>
            <w:vAlign w:val="center"/>
            <w:hideMark/>
          </w:tcPr>
          <w:p w14:paraId="23643A7E" w14:textId="77777777" w:rsidR="00E07FC3" w:rsidRPr="003000DA" w:rsidRDefault="00E07FC3" w:rsidP="00797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4"/>
                <w:lang w:eastAsia="ru-RU"/>
              </w:rPr>
            </w:pPr>
            <w:r w:rsidRPr="003000D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31.12.2024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00AC84"/>
              <w:right w:val="nil"/>
            </w:tcBorders>
            <w:vAlign w:val="center"/>
          </w:tcPr>
          <w:p w14:paraId="5724BB7B" w14:textId="77777777" w:rsidR="00E07FC3" w:rsidRPr="003000D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i/>
                <w:iCs/>
                <w:kern w:val="24"/>
                <w:sz w:val="16"/>
                <w:szCs w:val="14"/>
                <w:lang w:eastAsia="ru-RU"/>
              </w:rPr>
            </w:pPr>
            <w:r w:rsidRPr="003000DA">
              <w:rPr>
                <w:rFonts w:ascii="SB Sans Text Light" w:eastAsia="Times New Roman" w:hAnsi="SB Sans Text Light" w:cs="SB Sans Text Light"/>
                <w:i/>
                <w:iCs/>
                <w:kern w:val="24"/>
                <w:sz w:val="16"/>
                <w:szCs w:val="14"/>
                <w:lang w:eastAsia="ru-RU"/>
              </w:rPr>
              <w:t xml:space="preserve">изменение </w:t>
            </w:r>
            <w:r w:rsidRPr="003000DA">
              <w:rPr>
                <w:rFonts w:ascii="SB Sans Text Light" w:eastAsia="Times New Roman" w:hAnsi="SB Sans Text Light" w:cs="SB Sans Text Light"/>
                <w:i/>
                <w:iCs/>
                <w:kern w:val="24"/>
                <w:sz w:val="16"/>
                <w:szCs w:val="14"/>
                <w:lang w:eastAsia="ru-RU"/>
              </w:rPr>
              <w:br/>
              <w:t>за квартал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AC84"/>
              <w:right w:val="nil"/>
            </w:tcBorders>
            <w:tcMar>
              <w:top w:w="57" w:type="dxa"/>
              <w:left w:w="15" w:type="dxa"/>
              <w:bottom w:w="57" w:type="dxa"/>
              <w:right w:w="113" w:type="dxa"/>
            </w:tcMar>
            <w:vAlign w:val="center"/>
            <w:hideMark/>
          </w:tcPr>
          <w:p w14:paraId="37393101" w14:textId="77777777" w:rsidR="00E07FC3" w:rsidRPr="003000DA" w:rsidRDefault="00E07FC3" w:rsidP="007977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4"/>
                <w:lang w:eastAsia="ru-RU"/>
              </w:rPr>
            </w:pPr>
            <w:r w:rsidRPr="003000DA">
              <w:rPr>
                <w:rFonts w:ascii="SB Sans Text Light" w:eastAsia="Times New Roman" w:hAnsi="SB Sans Text Light" w:cs="SB Sans Text Light"/>
                <w:i/>
                <w:iCs/>
                <w:kern w:val="24"/>
                <w:sz w:val="16"/>
                <w:szCs w:val="14"/>
                <w:lang w:eastAsia="ru-RU"/>
              </w:rPr>
              <w:t xml:space="preserve">изменение </w:t>
            </w:r>
            <w:r w:rsidRPr="003000DA">
              <w:rPr>
                <w:rFonts w:ascii="SB Sans Text Light" w:eastAsia="Times New Roman" w:hAnsi="SB Sans Text Light" w:cs="SB Sans Text Light"/>
                <w:i/>
                <w:iCs/>
                <w:kern w:val="24"/>
                <w:sz w:val="16"/>
                <w:szCs w:val="14"/>
                <w:lang w:eastAsia="ru-RU"/>
              </w:rPr>
              <w:br/>
              <w:t>с начала года</w:t>
            </w:r>
          </w:p>
        </w:tc>
      </w:tr>
      <w:tr w:rsidR="00E07FC3" w:rsidRPr="003000DA" w14:paraId="2148F35C" w14:textId="77777777" w:rsidTr="007977B8">
        <w:trPr>
          <w:trHeight w:val="378"/>
        </w:trPr>
        <w:tc>
          <w:tcPr>
            <w:tcW w:w="1703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vAlign w:val="center"/>
          </w:tcPr>
          <w:p w14:paraId="00CB169A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>Базовый капитал 1-го уровня</w:t>
            </w:r>
          </w:p>
        </w:tc>
        <w:tc>
          <w:tcPr>
            <w:tcW w:w="588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0A2EBF95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7 268,5</w:t>
            </w:r>
          </w:p>
        </w:tc>
        <w:tc>
          <w:tcPr>
            <w:tcW w:w="695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vAlign w:val="center"/>
          </w:tcPr>
          <w:p w14:paraId="3E785BFF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6 943,2</w:t>
            </w:r>
          </w:p>
        </w:tc>
        <w:tc>
          <w:tcPr>
            <w:tcW w:w="696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6E12B4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6 428,5</w:t>
            </w:r>
          </w:p>
        </w:tc>
        <w:tc>
          <w:tcPr>
            <w:tcW w:w="555" w:type="pct"/>
            <w:gridSpan w:val="2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vAlign w:val="center"/>
          </w:tcPr>
          <w:p w14:paraId="5BD04314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4,7%</w:t>
            </w:r>
          </w:p>
        </w:tc>
        <w:tc>
          <w:tcPr>
            <w:tcW w:w="763" w:type="pct"/>
            <w:tcBorders>
              <w:top w:val="single" w:sz="8" w:space="0" w:color="00AC84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A3F3D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13,1%</w:t>
            </w:r>
          </w:p>
        </w:tc>
      </w:tr>
      <w:tr w:rsidR="00E07FC3" w:rsidRPr="003000DA" w14:paraId="685A2090" w14:textId="77777777" w:rsidTr="007977B8">
        <w:trPr>
          <w:trHeight w:val="378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06ACCEFE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Капитал 1-го уровня 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2E8D8D16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7 418,5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076A6248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7 093,2</w:t>
            </w:r>
          </w:p>
        </w:tc>
        <w:tc>
          <w:tcPr>
            <w:tcW w:w="696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91D1B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6 578,5</w:t>
            </w:r>
          </w:p>
        </w:tc>
        <w:tc>
          <w:tcPr>
            <w:tcW w:w="555" w:type="pct"/>
            <w:gridSpan w:val="2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6AEE4A15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4,6%</w:t>
            </w:r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9CE716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12,8%</w:t>
            </w:r>
          </w:p>
        </w:tc>
      </w:tr>
      <w:tr w:rsidR="00E07FC3" w:rsidRPr="003000DA" w14:paraId="4EE123BB" w14:textId="77777777" w:rsidTr="007977B8">
        <w:trPr>
          <w:trHeight w:val="378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64A031E4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Общий капитал 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70A6E226" w14:textId="55C17DC3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7 90</w:t>
            </w:r>
            <w:r w:rsidR="00D32FDB">
              <w:rPr>
                <w:rFonts w:ascii="SB Sans Text" w:hAnsi="SB Sans Text" w:cs="SB Sans Text"/>
                <w:color w:val="333F48"/>
                <w:sz w:val="16"/>
                <w:szCs w:val="16"/>
              </w:rPr>
              <w:t>0</w:t>
            </w: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,</w:t>
            </w:r>
            <w:r w:rsidR="00D32FDB">
              <w:rPr>
                <w:rFonts w:ascii="SB Sans Text" w:hAnsi="SB Sans Text" w:cs="SB Sans Text"/>
                <w:color w:val="333F48"/>
                <w:sz w:val="16"/>
                <w:szCs w:val="16"/>
              </w:rPr>
              <w:t>3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4D3EC257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7 529,5</w:t>
            </w:r>
          </w:p>
        </w:tc>
        <w:tc>
          <w:tcPr>
            <w:tcW w:w="696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26B14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6 800,6</w:t>
            </w:r>
          </w:p>
        </w:tc>
        <w:tc>
          <w:tcPr>
            <w:tcW w:w="555" w:type="pct"/>
            <w:gridSpan w:val="2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06C2D88D" w14:textId="60A6179E" w:rsidR="00E07FC3" w:rsidRDefault="00D32FDB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4</w:t>
            </w:r>
            <w:r w:rsidR="00E07FC3"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,</w:t>
            </w: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9</w:t>
            </w:r>
            <w:r w:rsidR="00E07FC3"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%</w:t>
            </w:r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FA5D7B" w14:textId="12F25458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16,</w:t>
            </w:r>
            <w:r w:rsidR="00D32FDB"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2</w:t>
            </w: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%</w:t>
            </w:r>
          </w:p>
        </w:tc>
      </w:tr>
      <w:tr w:rsidR="00E07FC3" w:rsidRPr="003000DA" w14:paraId="3FB01BB6" w14:textId="77777777" w:rsidTr="007977B8">
        <w:trPr>
          <w:trHeight w:val="378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2E2493ED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Активы, взвешенные с учетом риска 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4C4BC084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56 043,4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1125647E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55 307,9</w:t>
            </w:r>
          </w:p>
        </w:tc>
        <w:tc>
          <w:tcPr>
            <w:tcW w:w="696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8CF5C3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52 977,2</w:t>
            </w:r>
          </w:p>
        </w:tc>
        <w:tc>
          <w:tcPr>
            <w:tcW w:w="555" w:type="pct"/>
            <w:gridSpan w:val="2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54BD1853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1,3%</w:t>
            </w:r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B03DD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5,8%</w:t>
            </w:r>
          </w:p>
        </w:tc>
      </w:tr>
      <w:tr w:rsidR="00E07FC3" w:rsidRPr="003000DA" w14:paraId="556A8644" w14:textId="77777777" w:rsidTr="007977B8">
        <w:trPr>
          <w:trHeight w:val="378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6223FAA5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Коэффициент достаточности </w:t>
            </w: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br/>
              <w:t xml:space="preserve">базового капитала 1-го уровня 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19536A81" w14:textId="77777777" w:rsidR="00E07FC3" w:rsidRPr="003000D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  <w:t>13,0%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3029932F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12,6%</w:t>
            </w:r>
          </w:p>
        </w:tc>
        <w:tc>
          <w:tcPr>
            <w:tcW w:w="696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02E04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12,1%</w:t>
            </w:r>
          </w:p>
        </w:tc>
        <w:tc>
          <w:tcPr>
            <w:tcW w:w="555" w:type="pct"/>
            <w:gridSpan w:val="2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0FF23549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0,4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2DF39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0,9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</w:tr>
      <w:tr w:rsidR="00E07FC3" w:rsidRPr="003000DA" w14:paraId="215AA9BC" w14:textId="77777777" w:rsidTr="007977B8">
        <w:trPr>
          <w:trHeight w:val="378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72ADC281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Коэффициент достаточности </w:t>
            </w: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br/>
              <w:t>капитала 1-го уровня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0F0BCCF9" w14:textId="77777777" w:rsidR="00E07FC3" w:rsidRPr="003000D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  <w:t>13,2%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52C3148B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12,8%</w:t>
            </w:r>
          </w:p>
        </w:tc>
        <w:tc>
          <w:tcPr>
            <w:tcW w:w="729" w:type="pct"/>
            <w:gridSpan w:val="2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7F928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12,4%</w:t>
            </w:r>
          </w:p>
        </w:tc>
        <w:tc>
          <w:tcPr>
            <w:tcW w:w="522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641E3325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0,4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9CF472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0,8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</w:tr>
      <w:tr w:rsidR="00E07FC3" w:rsidRPr="003000DA" w14:paraId="04C2B5D4" w14:textId="77777777" w:rsidTr="007977B8">
        <w:trPr>
          <w:trHeight w:val="378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2E2E4F90" w14:textId="77777777" w:rsidR="00E07FC3" w:rsidRPr="003000DA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Коэффициент достаточности </w:t>
            </w: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br/>
              <w:t xml:space="preserve">общего капитала 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2F2F2" w:themeFill="background1" w:themeFillShade="F2"/>
            <w:vAlign w:val="center"/>
          </w:tcPr>
          <w:p w14:paraId="41AF1EFB" w14:textId="77777777" w:rsidR="00E07FC3" w:rsidRPr="003000D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  <w:t>14,1%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76444A96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13,6%</w:t>
            </w:r>
          </w:p>
        </w:tc>
        <w:tc>
          <w:tcPr>
            <w:tcW w:w="729" w:type="pct"/>
            <w:gridSpan w:val="2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E60AB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12,8%</w:t>
            </w:r>
          </w:p>
        </w:tc>
        <w:tc>
          <w:tcPr>
            <w:tcW w:w="522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vAlign w:val="center"/>
          </w:tcPr>
          <w:p w14:paraId="37FF437C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0,5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2" w:space="0" w:color="778E9F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CAAD6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1,3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</w:tr>
      <w:tr w:rsidR="00E07FC3" w:rsidRPr="003000DA" w14:paraId="0DF3B519" w14:textId="77777777" w:rsidTr="007977B8">
        <w:trPr>
          <w:trHeight w:val="379"/>
        </w:trPr>
        <w:tc>
          <w:tcPr>
            <w:tcW w:w="1703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vAlign w:val="center"/>
          </w:tcPr>
          <w:p w14:paraId="3CC63093" w14:textId="77777777" w:rsidR="00E07FC3" w:rsidRPr="003000DA" w:rsidRDefault="00E07FC3" w:rsidP="007977B8">
            <w:pPr>
              <w:spacing w:after="0" w:line="240" w:lineRule="auto"/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 xml:space="preserve">Коэффициент достаточности капитала         </w:t>
            </w:r>
          </w:p>
          <w:p w14:paraId="1A4257D6" w14:textId="4AA599DE" w:rsidR="00E07FC3" w:rsidRPr="004F2439" w:rsidRDefault="00E07FC3" w:rsidP="00797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0DA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lang w:eastAsia="ru-RU"/>
              </w:rPr>
              <w:t>банковской группы Н20.0</w:t>
            </w:r>
            <w:r w:rsidR="00971A31" w:rsidRPr="004F2439">
              <w:rPr>
                <w:rFonts w:ascii="SB Sans Text" w:eastAsia="Times New Roman" w:hAnsi="SB Sans Text" w:cs="SB Sans Display Light"/>
                <w:kern w:val="24"/>
                <w:sz w:val="16"/>
                <w:szCs w:val="16"/>
                <w:vertAlign w:val="superscript"/>
                <w:lang w:eastAsia="ru-RU"/>
              </w:rPr>
              <w:t>11</w:t>
            </w:r>
          </w:p>
        </w:tc>
        <w:tc>
          <w:tcPr>
            <w:tcW w:w="588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shd w:val="clear" w:color="auto" w:fill="F2F2F2" w:themeFill="background1" w:themeFillShade="F2"/>
            <w:vAlign w:val="center"/>
          </w:tcPr>
          <w:p w14:paraId="7E307DD0" w14:textId="77777777" w:rsidR="00E07FC3" w:rsidRPr="003000D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</w:pPr>
            <w:r>
              <w:rPr>
                <w:rFonts w:ascii="SB Sans Text" w:eastAsia="Times New Roman" w:hAnsi="SB Sans Text" w:cs="SB Sans Text"/>
                <w:kern w:val="24"/>
                <w:sz w:val="16"/>
                <w:szCs w:val="16"/>
                <w:lang w:eastAsia="ru-RU"/>
              </w:rPr>
              <w:t>13,7%</w:t>
            </w:r>
          </w:p>
        </w:tc>
        <w:tc>
          <w:tcPr>
            <w:tcW w:w="695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vAlign w:val="center"/>
          </w:tcPr>
          <w:p w14:paraId="255782EF" w14:textId="77777777" w:rsidR="00E07FC3" w:rsidRPr="00993B7A" w:rsidRDefault="00E07FC3" w:rsidP="007977B8">
            <w:pPr>
              <w:spacing w:after="0" w:line="240" w:lineRule="auto"/>
              <w:jc w:val="right"/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</w:pPr>
            <w:r w:rsidRPr="00993B7A">
              <w:rPr>
                <w:rFonts w:ascii="SB Sans Text Light" w:eastAsia="Times New Roman" w:hAnsi="SB Sans Text Light" w:cs="SB Sans Text Light"/>
                <w:kern w:val="24"/>
                <w:sz w:val="16"/>
                <w:szCs w:val="14"/>
                <w:lang w:eastAsia="ru-RU"/>
              </w:rPr>
              <w:t>13,4%</w:t>
            </w:r>
          </w:p>
        </w:tc>
        <w:tc>
          <w:tcPr>
            <w:tcW w:w="729" w:type="pct"/>
            <w:gridSpan w:val="2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6D3BB" w14:textId="77777777" w:rsidR="00E07FC3" w:rsidRPr="00993B7A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color w:val="333F48"/>
                <w:sz w:val="16"/>
                <w:szCs w:val="16"/>
              </w:rPr>
              <w:t>13,3%</w:t>
            </w:r>
          </w:p>
        </w:tc>
        <w:tc>
          <w:tcPr>
            <w:tcW w:w="522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vAlign w:val="center"/>
          </w:tcPr>
          <w:p w14:paraId="1D357CA9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0,3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63" w:type="pct"/>
            <w:tcBorders>
              <w:top w:val="single" w:sz="2" w:space="0" w:color="778E9F"/>
              <w:left w:val="nil"/>
              <w:bottom w:val="single" w:sz="8" w:space="0" w:color="00AC84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C1D10" w14:textId="77777777" w:rsidR="00E07FC3" w:rsidRDefault="00E07FC3" w:rsidP="007977B8">
            <w:pPr>
              <w:spacing w:after="0" w:line="240" w:lineRule="auto"/>
              <w:jc w:val="right"/>
              <w:textAlignment w:val="center"/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</w:pPr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 xml:space="preserve">0,4 </w:t>
            </w:r>
            <w:proofErr w:type="spellStart"/>
            <w:r>
              <w:rPr>
                <w:rFonts w:ascii="SB Sans Text" w:hAnsi="SB Sans Text" w:cs="SB Sans Text"/>
                <w:i/>
                <w:iCs/>
                <w:color w:val="333F48"/>
                <w:sz w:val="16"/>
                <w:szCs w:val="16"/>
              </w:rPr>
              <w:t>пп</w:t>
            </w:r>
            <w:proofErr w:type="spellEnd"/>
          </w:p>
        </w:tc>
      </w:tr>
    </w:tbl>
    <w:p w14:paraId="24485A40" w14:textId="77777777" w:rsidR="00E07FC3" w:rsidRPr="005A187D" w:rsidRDefault="00E07FC3" w:rsidP="005A187D">
      <w:pPr>
        <w:spacing w:line="240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</w:rPr>
        <w:sectPr w:rsidR="00E07FC3" w:rsidRPr="005A187D" w:rsidSect="009B370D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06BB1EE6" w14:textId="15A96463" w:rsidR="009F1EAD" w:rsidRPr="00E07FC3" w:rsidRDefault="00E07FC3" w:rsidP="005A187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7FC3">
        <w:rPr>
          <w:rFonts w:ascii="Arial" w:eastAsia="+mn-ea" w:hAnsi="Arial" w:cs="Arial"/>
          <w:b/>
          <w:bCs/>
          <w:kern w:val="24"/>
          <w:sz w:val="24"/>
          <w:szCs w:val="24"/>
        </w:rPr>
        <w:t>Базовый капитал 1-го уровня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вырос на 4,7% за 4 квартал 2025 г. до 7,3 трлн руб. </w:t>
      </w:r>
      <w:r w:rsidR="00307C77">
        <w:rPr>
          <w:rFonts w:ascii="Arial" w:eastAsia="+mn-ea" w:hAnsi="Arial" w:cs="Arial"/>
          <w:kern w:val="24"/>
          <w:sz w:val="24"/>
          <w:szCs w:val="24"/>
        </w:rPr>
        <w:t xml:space="preserve">в основном 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за счет заработанной прибыли. </w:t>
      </w:r>
      <w:r w:rsidRPr="00E07FC3">
        <w:rPr>
          <w:rFonts w:ascii="Arial" w:eastAsia="+mn-ea" w:hAnsi="Arial" w:cs="Arial"/>
          <w:b/>
          <w:bCs/>
          <w:kern w:val="24"/>
          <w:sz w:val="24"/>
          <w:szCs w:val="24"/>
        </w:rPr>
        <w:t>Общий капитал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вырос на </w:t>
      </w:r>
      <w:r w:rsidR="00307C77">
        <w:rPr>
          <w:rFonts w:ascii="Arial" w:eastAsia="+mn-ea" w:hAnsi="Arial" w:cs="Arial"/>
          <w:kern w:val="24"/>
          <w:sz w:val="24"/>
          <w:szCs w:val="24"/>
        </w:rPr>
        <w:t>4</w:t>
      </w:r>
      <w:r w:rsidRPr="00E07FC3">
        <w:rPr>
          <w:rFonts w:ascii="Arial" w:eastAsia="+mn-ea" w:hAnsi="Arial" w:cs="Arial"/>
          <w:kern w:val="24"/>
          <w:sz w:val="24"/>
          <w:szCs w:val="24"/>
        </w:rPr>
        <w:t>,</w:t>
      </w:r>
      <w:r w:rsidR="00307C77">
        <w:rPr>
          <w:rFonts w:ascii="Arial" w:eastAsia="+mn-ea" w:hAnsi="Arial" w:cs="Arial"/>
          <w:kern w:val="24"/>
          <w:sz w:val="24"/>
          <w:szCs w:val="24"/>
        </w:rPr>
        <w:t>9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% </w:t>
      </w:r>
      <w:r w:rsidR="00307C77">
        <w:rPr>
          <w:rFonts w:ascii="Arial" w:eastAsia="+mn-ea" w:hAnsi="Arial" w:cs="Arial"/>
          <w:kern w:val="24"/>
          <w:sz w:val="24"/>
          <w:szCs w:val="24"/>
        </w:rPr>
        <w:t xml:space="preserve">за квартал 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до 7,9 трлн руб. </w:t>
      </w:r>
      <w:r w:rsidR="009F1EAD" w:rsidRPr="00E07FC3">
        <w:rPr>
          <w:rFonts w:ascii="Arial" w:eastAsia="+mn-ea" w:hAnsi="Arial" w:cs="Arial"/>
          <w:kern w:val="24"/>
          <w:sz w:val="24"/>
          <w:szCs w:val="24"/>
        </w:rPr>
        <w:t xml:space="preserve">  </w:t>
      </w:r>
    </w:p>
    <w:p w14:paraId="539D0245" w14:textId="6572892D" w:rsidR="009F1EAD" w:rsidRPr="00E07FC3" w:rsidRDefault="00E07FC3" w:rsidP="005A187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7FC3">
        <w:rPr>
          <w:rFonts w:ascii="Arial" w:eastAsia="+mn-ea" w:hAnsi="Arial" w:cs="Arial"/>
          <w:b/>
          <w:bCs/>
          <w:kern w:val="24"/>
          <w:sz w:val="24"/>
          <w:szCs w:val="24"/>
        </w:rPr>
        <w:t>Активы Группы, взвешенные с учетом риска</w:t>
      </w:r>
      <w:r w:rsidRPr="00E07FC3">
        <w:rPr>
          <w:rFonts w:ascii="Arial" w:eastAsia="+mn-ea" w:hAnsi="Arial" w:cs="Arial"/>
          <w:kern w:val="24"/>
          <w:sz w:val="24"/>
          <w:szCs w:val="24"/>
        </w:rPr>
        <w:t>, увеличились на 1,3% за 4 квартал до 56,0 трлн руб., в основном</w:t>
      </w:r>
      <w:r w:rsidR="000D04EF" w:rsidRPr="009E5A24">
        <w:rPr>
          <w:rFonts w:ascii="Arial" w:eastAsia="+mn-ea" w:hAnsi="Arial" w:cs="Arial"/>
          <w:kern w:val="24"/>
          <w:sz w:val="24"/>
          <w:szCs w:val="24"/>
        </w:rPr>
        <w:t xml:space="preserve"> </w:t>
      </w:r>
      <w:r w:rsidRPr="00E07FC3">
        <w:rPr>
          <w:rFonts w:ascii="Arial" w:eastAsia="+mn-ea" w:hAnsi="Arial" w:cs="Arial"/>
          <w:kern w:val="24"/>
          <w:sz w:val="24"/>
          <w:szCs w:val="24"/>
        </w:rPr>
        <w:t>за счет роста совокупного кредитного портфеля.</w:t>
      </w:r>
    </w:p>
    <w:p w14:paraId="496CEB0E" w14:textId="476EC5FA" w:rsidR="009F1EAD" w:rsidRPr="00E07FC3" w:rsidRDefault="00E07FC3" w:rsidP="00F664D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7FC3">
        <w:rPr>
          <w:rFonts w:ascii="Arial" w:eastAsia="+mn-ea" w:hAnsi="Arial" w:cs="Arial"/>
          <w:b/>
          <w:bCs/>
          <w:kern w:val="24"/>
          <w:sz w:val="24"/>
          <w:szCs w:val="24"/>
        </w:rPr>
        <w:t>Коэффициенты достаточности базового капитала и капитала первого уровня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выросли на 0,4 </w:t>
      </w:r>
      <w:proofErr w:type="spellStart"/>
      <w:r w:rsidRPr="00E07FC3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за 4 квартал 2025 г. до 13,0% и 13,2% соответственно, а </w:t>
      </w:r>
      <w:r w:rsidRPr="00E07FC3">
        <w:rPr>
          <w:rFonts w:ascii="Arial" w:eastAsia="+mn-ea" w:hAnsi="Arial" w:cs="Arial"/>
          <w:b/>
          <w:bCs/>
          <w:kern w:val="24"/>
          <w:sz w:val="24"/>
          <w:szCs w:val="24"/>
        </w:rPr>
        <w:t>коэффициент достаточности общего капитала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вырос на 0,5 </w:t>
      </w:r>
      <w:proofErr w:type="spellStart"/>
      <w:r w:rsidRPr="00E07FC3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до 14,1%.</w:t>
      </w:r>
    </w:p>
    <w:p w14:paraId="728257B1" w14:textId="77A201A1" w:rsidR="009F1EAD" w:rsidRPr="00E07FC3" w:rsidRDefault="00E07FC3" w:rsidP="005A187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7FC3">
        <w:rPr>
          <w:rFonts w:ascii="Arial" w:eastAsia="+mn-ea" w:hAnsi="Arial" w:cs="Arial"/>
          <w:b/>
          <w:bCs/>
          <w:kern w:val="24"/>
          <w:sz w:val="24"/>
          <w:szCs w:val="24"/>
        </w:rPr>
        <w:t>Коэффициент достаточности капитала банковской группы Н20.0</w:t>
      </w:r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вырос на 0,3 </w:t>
      </w:r>
      <w:proofErr w:type="spellStart"/>
      <w:r w:rsidRPr="00E07FC3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за квартал или на 0,4 </w:t>
      </w:r>
      <w:proofErr w:type="spellStart"/>
      <w:r w:rsidRPr="00E07FC3">
        <w:rPr>
          <w:rFonts w:ascii="Arial" w:eastAsia="+mn-ea" w:hAnsi="Arial" w:cs="Arial"/>
          <w:kern w:val="24"/>
          <w:sz w:val="24"/>
          <w:szCs w:val="24"/>
        </w:rPr>
        <w:t>пп</w:t>
      </w:r>
      <w:proofErr w:type="spellEnd"/>
      <w:r w:rsidRPr="00E07FC3">
        <w:rPr>
          <w:rFonts w:ascii="Arial" w:eastAsia="+mn-ea" w:hAnsi="Arial" w:cs="Arial"/>
          <w:kern w:val="24"/>
          <w:sz w:val="24"/>
          <w:szCs w:val="24"/>
        </w:rPr>
        <w:t xml:space="preserve"> с начала года до 13,7%</w:t>
      </w:r>
      <w:r w:rsidR="00BA0265" w:rsidRPr="00BA0265">
        <w:rPr>
          <w:rFonts w:ascii="Arial" w:eastAsia="+mn-ea" w:hAnsi="Arial" w:cs="Arial"/>
          <w:kern w:val="24"/>
          <w:sz w:val="24"/>
          <w:szCs w:val="24"/>
          <w:vertAlign w:val="superscript"/>
        </w:rPr>
        <w:t>11</w:t>
      </w:r>
      <w:r w:rsidRPr="00E07FC3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60A3B29C" w14:textId="45E14F05" w:rsidR="007D4886" w:rsidRDefault="007D4886" w:rsidP="005A187D">
      <w:pPr>
        <w:spacing w:before="120" w:line="240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</w:pPr>
    </w:p>
    <w:p w14:paraId="6FA14D54" w14:textId="77777777" w:rsidR="00076DC7" w:rsidRPr="005A187D" w:rsidRDefault="00076DC7" w:rsidP="005A187D">
      <w:pPr>
        <w:spacing w:before="120" w:line="240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sectPr w:rsidR="00076DC7" w:rsidRPr="005A187D" w:rsidSect="007D488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0307FCB7" w14:textId="77777777" w:rsidR="007D4886" w:rsidRPr="005A187D" w:rsidRDefault="007D4886" w:rsidP="005A187D">
      <w:pPr>
        <w:pStyle w:val="a8"/>
        <w:spacing w:before="0" w:beforeAutospacing="0" w:after="160" w:afterAutospacing="0"/>
        <w:jc w:val="both"/>
        <w:rPr>
          <w:rFonts w:ascii="Arial" w:eastAsia="+mn-ea" w:hAnsi="Arial" w:cs="Arial"/>
          <w:b/>
          <w:bCs/>
          <w:kern w:val="24"/>
        </w:rPr>
      </w:pPr>
      <w:r w:rsidRPr="005A187D">
        <w:rPr>
          <w:rFonts w:ascii="Arial" w:eastAsia="+mn-ea" w:hAnsi="Arial" w:cs="Arial"/>
          <w:b/>
          <w:bCs/>
          <w:kern w:val="24"/>
        </w:rPr>
        <w:t>Технологическое лидерство</w:t>
      </w:r>
    </w:p>
    <w:p w14:paraId="3A50496B" w14:textId="1F4D5B28" w:rsidR="007D4886" w:rsidRPr="005A187D" w:rsidRDefault="007D4886" w:rsidP="005A187D">
      <w:pPr>
        <w:spacing w:before="120" w:line="240" w:lineRule="auto"/>
        <w:jc w:val="both"/>
        <w:rPr>
          <w:rFonts w:ascii="Arial" w:eastAsia="+mn-ea" w:hAnsi="Arial" w:cs="Arial"/>
          <w:b/>
          <w:bCs/>
          <w:kern w:val="24"/>
          <w:sz w:val="24"/>
          <w:szCs w:val="24"/>
          <w:lang w:eastAsia="ru-RU"/>
        </w:rPr>
        <w:sectPr w:rsidR="007D4886" w:rsidRPr="005A187D" w:rsidSect="007D488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351D52A8" w14:textId="428B9E1F" w:rsidR="009F1EAD" w:rsidRPr="005A187D" w:rsidRDefault="001009BC" w:rsidP="005A187D">
      <w:p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Развитие технологий остается ключевым фактором поддержания конкурентоспособности и операционной эффективности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>. В 2025 году мы продолжили внедрение технологий генеративного ИИ во всех направлениях деятельности.</w:t>
      </w:r>
    </w:p>
    <w:p w14:paraId="40F8C721" w14:textId="1F87EDF0" w:rsidR="009F1EAD" w:rsidRPr="005A187D" w:rsidRDefault="001009BC" w:rsidP="005A187D">
      <w:pPr>
        <w:numPr>
          <w:ilvl w:val="0"/>
          <w:numId w:val="14"/>
        </w:numPr>
        <w:tabs>
          <w:tab w:val="num" w:pos="567"/>
        </w:tabs>
        <w:spacing w:before="12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выложил в открытый доступ передовые российские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нейросетевые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модели</w:t>
      </w:r>
      <w:r>
        <w:rPr>
          <w:rFonts w:ascii="Arial" w:eastAsia="+mn-ea" w:hAnsi="Arial" w:cs="Arial"/>
          <w:kern w:val="24"/>
          <w:sz w:val="24"/>
          <w:szCs w:val="24"/>
        </w:rPr>
        <w:t xml:space="preserve"> </w:t>
      </w: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линейки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3.0 –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Ultra-Preview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и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Lightning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, новое поколение моделей GigaAM-v3 для распознавания речи, а также модели генерации изображений и видео линейки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Kandinsky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5.0. </w:t>
      </w:r>
      <w:r w:rsidR="009F1EAD" w:rsidRPr="005A187D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22FC1D7F" w14:textId="59DD4488" w:rsidR="009F1EAD" w:rsidRPr="005A187D" w:rsidRDefault="001009BC" w:rsidP="005A187D">
      <w:pPr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Ultra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Preview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– самая мощная и большая модель в линейке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и первая в России модель подобного масштаба.</w:t>
      </w:r>
      <w:r w:rsidR="009F1EAD" w:rsidRPr="005A187D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3D04692E" w14:textId="5027DC20" w:rsidR="009F1EAD" w:rsidRPr="005A187D" w:rsidRDefault="001009BC" w:rsidP="00F664DD">
      <w:pPr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Kandinsky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5.0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Video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cтала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одной из лучших открытых моделей в мире для генерации изображений и видео и стала неотъемлемым инструментом в работе профессионального сообщества.</w:t>
      </w:r>
    </w:p>
    <w:p w14:paraId="6D43CD98" w14:textId="6CFA2724" w:rsidR="009F1EAD" w:rsidRPr="001009BC" w:rsidRDefault="001009BC" w:rsidP="005A187D">
      <w:pPr>
        <w:numPr>
          <w:ilvl w:val="1"/>
          <w:numId w:val="14"/>
        </w:numPr>
        <w:spacing w:before="12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Ежемесячная аудитория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превысила 20 млн пользователей, которые совершили более 800 млн запросов.</w:t>
      </w:r>
    </w:p>
    <w:p w14:paraId="5D332FC9" w14:textId="69FDCCE0" w:rsidR="009F1EAD" w:rsidRPr="005A187D" w:rsidRDefault="001009BC" w:rsidP="00F664DD">
      <w:pPr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Взаимодействие с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стало более многогранным и естественным. Нейросеть теперь умеет работать с разными видами данных и общаться с пользователями голосом.</w:t>
      </w:r>
    </w:p>
    <w:p w14:paraId="0FBD1DB2" w14:textId="2EC189FE" w:rsidR="009F1EAD" w:rsidRPr="005A187D" w:rsidRDefault="001009BC" w:rsidP="005A187D">
      <w:pPr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В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появился маркетплейс агентов – каталог ИИ-инструментов для автономного выполнения задач пользователей.</w:t>
      </w:r>
      <w:r w:rsidR="009F1EAD" w:rsidRPr="005A187D">
        <w:rPr>
          <w:rFonts w:ascii="Arial" w:eastAsia="+mn-ea" w:hAnsi="Arial" w:cs="Arial"/>
          <w:kern w:val="24"/>
          <w:sz w:val="24"/>
          <w:szCs w:val="24"/>
        </w:rPr>
        <w:t xml:space="preserve"> </w:t>
      </w:r>
    </w:p>
    <w:p w14:paraId="6528E9D0" w14:textId="07509B66" w:rsidR="009F1EAD" w:rsidRPr="005A187D" w:rsidRDefault="001009BC" w:rsidP="005A187D">
      <w:pPr>
        <w:numPr>
          <w:ilvl w:val="0"/>
          <w:numId w:val="14"/>
        </w:numPr>
        <w:tabs>
          <w:tab w:val="clear" w:pos="1252"/>
        </w:tabs>
        <w:spacing w:before="12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Команда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реализует более 670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GenAI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инициатив для повышения операционной эффективности и улучшения клиентского опыта.</w:t>
      </w:r>
    </w:p>
    <w:p w14:paraId="6D9EBA95" w14:textId="6F558002" w:rsidR="009F1EAD" w:rsidRPr="005A187D" w:rsidRDefault="001009BC" w:rsidP="005A187D">
      <w:pPr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В 2025 году совокупный экономический эффект от внедрения ИИ составил более 450 млрд руб., порядка 50 млрд руб. из которых </w:t>
      </w:r>
      <w:r w:rsidR="00BA0265" w:rsidRPr="001009BC">
        <w:rPr>
          <w:rFonts w:ascii="Arial" w:eastAsia="+mn-ea" w:hAnsi="Arial" w:cs="Arial"/>
          <w:kern w:val="24"/>
          <w:sz w:val="24"/>
          <w:szCs w:val="24"/>
        </w:rPr>
        <w:t>–</w:t>
      </w: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от применения решений генеративного ИИ.</w:t>
      </w:r>
    </w:p>
    <w:p w14:paraId="7D68E727" w14:textId="108AF294" w:rsidR="009F1EAD" w:rsidRPr="005A187D" w:rsidRDefault="001009BC" w:rsidP="005A187D">
      <w:pPr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ИИ инструменты для разработчиков позволяют ускорять основные процессы создания продуктов в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Сбере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в 2-4 раза.</w:t>
      </w:r>
    </w:p>
    <w:p w14:paraId="3C78BB47" w14:textId="239BC751" w:rsidR="009F1EAD" w:rsidRPr="001009BC" w:rsidRDefault="001009BC" w:rsidP="005A187D">
      <w:pPr>
        <w:numPr>
          <w:ilvl w:val="0"/>
          <w:numId w:val="14"/>
        </w:numPr>
        <w:spacing w:before="120" w:line="240" w:lineRule="auto"/>
        <w:ind w:left="851" w:hanging="568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Несколько тысяч корпоративных клиентов уже используют решения генеративного ИИ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59D19505" w14:textId="338063A3" w:rsidR="001009BC" w:rsidRPr="005A187D" w:rsidRDefault="001009BC" w:rsidP="001009BC">
      <w:pPr>
        <w:numPr>
          <w:ilvl w:val="1"/>
          <w:numId w:val="14"/>
        </w:numPr>
        <w:spacing w:before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Times New Roman" w:hAnsi="Arial" w:cs="Arial"/>
          <w:sz w:val="24"/>
          <w:szCs w:val="24"/>
        </w:rPr>
        <w:t xml:space="preserve">На платформе </w:t>
      </w:r>
      <w:proofErr w:type="spellStart"/>
      <w:r w:rsidRPr="001009BC">
        <w:rPr>
          <w:rFonts w:ascii="Arial" w:eastAsia="Times New Roman" w:hAnsi="Arial" w:cs="Arial"/>
          <w:sz w:val="24"/>
          <w:szCs w:val="24"/>
        </w:rPr>
        <w:t>СберБизнес</w:t>
      </w:r>
      <w:proofErr w:type="spellEnd"/>
      <w:r w:rsidRPr="001009BC">
        <w:rPr>
          <w:rFonts w:ascii="Arial" w:eastAsia="Times New Roman" w:hAnsi="Arial" w:cs="Arial"/>
          <w:sz w:val="24"/>
          <w:szCs w:val="24"/>
        </w:rPr>
        <w:t xml:space="preserve"> предпринимателям доступно более 50 ИИ-агентов для автоматизации рутинных задач.</w:t>
      </w:r>
    </w:p>
    <w:p w14:paraId="7EB57339" w14:textId="73BB923D" w:rsidR="009F1EAD" w:rsidRPr="005A187D" w:rsidRDefault="001009BC" w:rsidP="005A187D">
      <w:pPr>
        <w:numPr>
          <w:ilvl w:val="0"/>
          <w:numId w:val="14"/>
        </w:numPr>
        <w:spacing w:before="12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Порядка 90% российских регионов применяют AI решения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в медицине, сельском хозяйстве, образовании и сфере государственных услуг.</w:t>
      </w:r>
    </w:p>
    <w:p w14:paraId="505E3C59" w14:textId="77E5F753" w:rsidR="00C965A1" w:rsidRPr="00076DC7" w:rsidRDefault="001009BC" w:rsidP="00F664DD">
      <w:pPr>
        <w:numPr>
          <w:ilvl w:val="0"/>
          <w:numId w:val="14"/>
        </w:numPr>
        <w:spacing w:before="12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</w:rPr>
      </w:pPr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В ноябре 2025 года на конференции AI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Journey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 представил собственного человекоподобного робота Грин на базе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GigaChat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 xml:space="preserve">, разработанного и собранного инженерами </w:t>
      </w:r>
      <w:proofErr w:type="spellStart"/>
      <w:r w:rsidRPr="001009BC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1009BC">
        <w:rPr>
          <w:rFonts w:ascii="Arial" w:eastAsia="+mn-ea" w:hAnsi="Arial" w:cs="Arial"/>
          <w:kern w:val="24"/>
          <w:sz w:val="24"/>
          <w:szCs w:val="24"/>
        </w:rPr>
        <w:t>.</w:t>
      </w:r>
    </w:p>
    <w:p w14:paraId="6E55F63E" w14:textId="77777777" w:rsidR="00076DC7" w:rsidRDefault="00076DC7" w:rsidP="005A187D">
      <w:pPr>
        <w:pStyle w:val="a8"/>
        <w:spacing w:before="0" w:beforeAutospacing="0" w:after="160" w:afterAutospacing="0"/>
        <w:jc w:val="both"/>
        <w:rPr>
          <w:rFonts w:ascii="Arial" w:eastAsia="+mn-ea" w:hAnsi="Arial" w:cs="Arial"/>
          <w:b/>
          <w:bCs/>
          <w:kern w:val="24"/>
        </w:rPr>
      </w:pPr>
    </w:p>
    <w:p w14:paraId="48F41F27" w14:textId="1A20908B" w:rsidR="009F1EAD" w:rsidRPr="005A187D" w:rsidRDefault="00C965A1" w:rsidP="005A187D">
      <w:pPr>
        <w:pStyle w:val="a8"/>
        <w:spacing w:before="0" w:beforeAutospacing="0" w:after="160" w:afterAutospacing="0"/>
        <w:jc w:val="both"/>
        <w:rPr>
          <w:rFonts w:ascii="Arial" w:eastAsia="+mn-ea" w:hAnsi="Arial" w:cs="Arial"/>
          <w:b/>
          <w:bCs/>
          <w:kern w:val="24"/>
        </w:rPr>
      </w:pPr>
      <w:r w:rsidRPr="005A187D">
        <w:rPr>
          <w:rFonts w:ascii="Arial" w:eastAsia="+mn-ea" w:hAnsi="Arial" w:cs="Arial"/>
          <w:b/>
          <w:bCs/>
          <w:kern w:val="24"/>
        </w:rPr>
        <w:t>Устойчивое развитие</w:t>
      </w:r>
    </w:p>
    <w:p w14:paraId="5C880BBD" w14:textId="640E86D2" w:rsidR="00525B3C" w:rsidRPr="005A187D" w:rsidRDefault="00CD1AD0" w:rsidP="00F664DD">
      <w:pPr>
        <w:numPr>
          <w:ilvl w:val="0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По итогам 4 квартала 2025 г. портфель ответственного финансирования </w:t>
      </w:r>
      <w:proofErr w:type="spellStart"/>
      <w:r w:rsidRPr="00CD1AD0">
        <w:rPr>
          <w:rFonts w:ascii="Arial" w:eastAsia="+mn-ea" w:hAnsi="Arial" w:cs="Arial"/>
          <w:kern w:val="24"/>
          <w:sz w:val="24"/>
          <w:szCs w:val="24"/>
        </w:rPr>
        <w:t>Сбера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 (зеленые, адаптационные, социальные и ESG-кредиты) достиг 4,47 трлн рублей (+17% г/г).</w:t>
      </w:r>
    </w:p>
    <w:p w14:paraId="6A3744D3" w14:textId="0C334988" w:rsidR="00525B3C" w:rsidRPr="005A187D" w:rsidRDefault="00CD1AD0" w:rsidP="005A187D">
      <w:pPr>
        <w:numPr>
          <w:ilvl w:val="0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Продажи </w:t>
      </w:r>
      <w:proofErr w:type="spellStart"/>
      <w:r w:rsidRPr="00CD1AD0">
        <w:rPr>
          <w:rFonts w:ascii="Arial" w:eastAsia="+mn-ea" w:hAnsi="Arial" w:cs="Arial"/>
          <w:kern w:val="24"/>
          <w:sz w:val="24"/>
          <w:szCs w:val="24"/>
        </w:rPr>
        <w:t>некредитных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 ESG-продуктов составили 7,6 млрд рублей (рост в 2,2 раза г/г).</w:t>
      </w:r>
    </w:p>
    <w:p w14:paraId="65583375" w14:textId="78B81B1D" w:rsidR="00525B3C" w:rsidRPr="005A187D" w:rsidRDefault="00CD1AD0" w:rsidP="00F664DD">
      <w:pPr>
        <w:numPr>
          <w:ilvl w:val="0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D1AD0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 утвердил программу энергосбережения до 2030 года, которая позволит сократить выбросы парниковых газов на более чем 117 тыс. тонн СО2. Особое внимание уделено развитию системы энергетического менеджмента, процессному подходу к повышению эффективности потребления энергетических ресурсов объектами банка при выполнении технологических процессов. Реализация этого подхода осуществляется благодаря широкому применению искусственного интеллекта.</w:t>
      </w:r>
    </w:p>
    <w:p w14:paraId="03BB036C" w14:textId="4F74C6C0" w:rsidR="00525B3C" w:rsidRPr="00CD1AD0" w:rsidRDefault="00CD1AD0" w:rsidP="005A187D">
      <w:pPr>
        <w:numPr>
          <w:ilvl w:val="0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+mn-ea" w:hAnsi="Arial" w:cs="Arial"/>
          <w:kern w:val="24"/>
          <w:sz w:val="24"/>
          <w:szCs w:val="24"/>
        </w:rPr>
        <w:t>В 4</w:t>
      </w:r>
      <w:r>
        <w:rPr>
          <w:rFonts w:ascii="Arial" w:eastAsia="+mn-ea" w:hAnsi="Arial" w:cs="Arial"/>
          <w:kern w:val="24"/>
          <w:sz w:val="24"/>
          <w:szCs w:val="24"/>
        </w:rPr>
        <w:t xml:space="preserve"> </w:t>
      </w:r>
      <w:r w:rsidRPr="00CD1AD0">
        <w:rPr>
          <w:rFonts w:ascii="Arial" w:eastAsia="+mn-ea" w:hAnsi="Arial" w:cs="Arial"/>
          <w:kern w:val="24"/>
          <w:sz w:val="24"/>
          <w:szCs w:val="24"/>
        </w:rPr>
        <w:t>кварт</w:t>
      </w:r>
      <w:r w:rsidR="00A22D51">
        <w:rPr>
          <w:rFonts w:ascii="Arial" w:eastAsia="+mn-ea" w:hAnsi="Arial" w:cs="Arial"/>
          <w:kern w:val="24"/>
          <w:sz w:val="24"/>
          <w:szCs w:val="24"/>
        </w:rPr>
        <w:t>а</w:t>
      </w:r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ле </w:t>
      </w:r>
      <w:proofErr w:type="spellStart"/>
      <w:r w:rsidRPr="00CD1AD0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 подтвердил ESG-рейтинги:</w:t>
      </w:r>
    </w:p>
    <w:p w14:paraId="429C7735" w14:textId="77777777" w:rsidR="00CD1AD0" w:rsidRPr="00CD1AD0" w:rsidRDefault="00CD1AD0" w:rsidP="00CD1AD0">
      <w:pPr>
        <w:tabs>
          <w:tab w:val="left" w:pos="420"/>
        </w:tabs>
        <w:spacing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886FED6" w14:textId="0A5F22B4" w:rsidR="00CD1AD0" w:rsidRDefault="00CD1AD0" w:rsidP="00CD1AD0">
      <w:pPr>
        <w:numPr>
          <w:ilvl w:val="1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Times New Roman" w:hAnsi="Arial" w:cs="Arial"/>
          <w:sz w:val="24"/>
          <w:szCs w:val="24"/>
        </w:rPr>
        <w:t>RAEX на уровне AAA – очень высокий уровень управления ESG-рисками и возможностями</w:t>
      </w:r>
    </w:p>
    <w:p w14:paraId="6E63B85E" w14:textId="0056960E" w:rsidR="00CD1AD0" w:rsidRDefault="00CD1AD0" w:rsidP="00CD1AD0">
      <w:pPr>
        <w:numPr>
          <w:ilvl w:val="1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Times New Roman" w:hAnsi="Arial" w:cs="Arial"/>
          <w:sz w:val="24"/>
          <w:szCs w:val="24"/>
        </w:rPr>
        <w:t xml:space="preserve">НРА на уровне </w:t>
      </w:r>
      <w:proofErr w:type="spellStart"/>
      <w:r w:rsidRPr="00CD1AD0">
        <w:rPr>
          <w:rFonts w:ascii="Arial" w:eastAsia="Times New Roman" w:hAnsi="Arial" w:cs="Arial"/>
          <w:sz w:val="24"/>
          <w:szCs w:val="24"/>
        </w:rPr>
        <w:t>ААА.esg</w:t>
      </w:r>
      <w:proofErr w:type="spellEnd"/>
      <w:r w:rsidRPr="00CD1AD0">
        <w:rPr>
          <w:rFonts w:ascii="Arial" w:eastAsia="Times New Roman" w:hAnsi="Arial" w:cs="Arial"/>
          <w:sz w:val="24"/>
          <w:szCs w:val="24"/>
        </w:rPr>
        <w:t xml:space="preserve"> – максимальный уровень интеграции устойчивой повестки в деятельность Группы</w:t>
      </w:r>
    </w:p>
    <w:p w14:paraId="3A27D047" w14:textId="6B005DA3" w:rsidR="00CD1AD0" w:rsidRDefault="00CD1AD0" w:rsidP="00CD1AD0">
      <w:pPr>
        <w:numPr>
          <w:ilvl w:val="1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Times New Roman" w:hAnsi="Arial" w:cs="Arial"/>
          <w:sz w:val="24"/>
          <w:szCs w:val="24"/>
        </w:rPr>
        <w:t>НКР на уровне ААА – наивысший уровень соответствия экологическим, социальным и управленческим стандартам</w:t>
      </w:r>
    </w:p>
    <w:p w14:paraId="3F4343D9" w14:textId="0CA8EFC8" w:rsidR="00CD1AD0" w:rsidRDefault="00CD1AD0" w:rsidP="00CD1AD0">
      <w:pPr>
        <w:numPr>
          <w:ilvl w:val="1"/>
          <w:numId w:val="15"/>
        </w:numPr>
        <w:tabs>
          <w:tab w:val="left" w:pos="420"/>
        </w:tabs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Times New Roman" w:hAnsi="Arial" w:cs="Arial"/>
          <w:sz w:val="24"/>
          <w:szCs w:val="24"/>
        </w:rPr>
        <w:t>Эксперт РА на уровне ESG-II(a) – очень высокий уровень соблюдения интересов в области устойчивого развития при принятии ключевых решений.</w:t>
      </w:r>
    </w:p>
    <w:p w14:paraId="4AC4DDAF" w14:textId="77777777" w:rsidR="00CD1AD0" w:rsidRPr="005A187D" w:rsidRDefault="00CD1AD0" w:rsidP="00CD1AD0">
      <w:pPr>
        <w:tabs>
          <w:tab w:val="left" w:pos="420"/>
        </w:tabs>
        <w:spacing w:line="240" w:lineRule="auto"/>
        <w:ind w:left="144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87EF9A3" w14:textId="2061910F" w:rsidR="00525B3C" w:rsidRDefault="00CD1AD0" w:rsidP="00CD1AD0">
      <w:pPr>
        <w:tabs>
          <w:tab w:val="left" w:pos="420"/>
        </w:tabs>
        <w:spacing w:line="240" w:lineRule="auto"/>
        <w:contextualSpacing/>
        <w:jc w:val="both"/>
        <w:rPr>
          <w:rFonts w:ascii="Arial" w:eastAsia="+mn-ea" w:hAnsi="Arial" w:cs="Arial"/>
          <w:kern w:val="24"/>
          <w:sz w:val="24"/>
          <w:szCs w:val="24"/>
        </w:rPr>
      </w:pPr>
      <w:proofErr w:type="spellStart"/>
      <w:r w:rsidRPr="00CD1AD0">
        <w:rPr>
          <w:rFonts w:ascii="Arial" w:eastAsia="+mn-ea" w:hAnsi="Arial" w:cs="Arial"/>
          <w:kern w:val="24"/>
          <w:sz w:val="24"/>
          <w:szCs w:val="24"/>
        </w:rPr>
        <w:t>Сбер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</w:rPr>
        <w:t xml:space="preserve"> поддерживает проекты в области образования:</w:t>
      </w:r>
    </w:p>
    <w:p w14:paraId="022CDF6C" w14:textId="474E3041" w:rsidR="00CD1AD0" w:rsidRPr="00CD1AD0" w:rsidRDefault="00CD1AD0" w:rsidP="00061FA8">
      <w:pPr>
        <w:pStyle w:val="a7"/>
        <w:numPr>
          <w:ilvl w:val="0"/>
          <w:numId w:val="17"/>
        </w:numPr>
        <w:tabs>
          <w:tab w:val="left" w:pos="42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1AD0">
        <w:rPr>
          <w:rFonts w:ascii="Arial" w:eastAsia="Times New Roman" w:hAnsi="Arial" w:cs="Arial"/>
          <w:sz w:val="24"/>
          <w:szCs w:val="24"/>
        </w:rPr>
        <w:t>На сегодняшний день кампусы «Школы 21» работают уже в 18 российских регионах. Также была запущена совместная программа с РУДН для подготовки ИИ-инженеров и цифровых заказчиков.</w:t>
      </w:r>
    </w:p>
    <w:p w14:paraId="6EF95274" w14:textId="77777777" w:rsidR="00CD1AD0" w:rsidRDefault="00CD1AD0" w:rsidP="00061FA8">
      <w:pPr>
        <w:spacing w:before="120" w:line="240" w:lineRule="auto"/>
        <w:jc w:val="both"/>
        <w:rPr>
          <w:rFonts w:ascii="Arial" w:eastAsia="+mn-ea" w:hAnsi="Arial" w:cs="Arial"/>
          <w:kern w:val="24"/>
          <w:sz w:val="24"/>
          <w:szCs w:val="24"/>
          <w:lang w:eastAsia="ru-RU"/>
        </w:rPr>
      </w:pPr>
      <w:r w:rsidRPr="00CD1AD0">
        <w:rPr>
          <w:rFonts w:ascii="Arial" w:eastAsia="+mn-ea" w:hAnsi="Arial" w:cs="Arial"/>
          <w:kern w:val="24"/>
          <w:sz w:val="24"/>
          <w:szCs w:val="24"/>
          <w:lang w:eastAsia="ru-RU"/>
        </w:rPr>
        <w:t xml:space="preserve">В конце 2025 года </w:t>
      </w:r>
      <w:proofErr w:type="spellStart"/>
      <w:r w:rsidRPr="00CD1AD0">
        <w:rPr>
          <w:rFonts w:ascii="Arial" w:eastAsia="+mn-ea" w:hAnsi="Arial" w:cs="Arial"/>
          <w:kern w:val="24"/>
          <w:sz w:val="24"/>
          <w:szCs w:val="24"/>
          <w:lang w:eastAsia="ru-RU"/>
        </w:rPr>
        <w:t>Сбер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  <w:lang w:eastAsia="ru-RU"/>
        </w:rPr>
        <w:t xml:space="preserve"> запустил новое направление — музейное </w:t>
      </w:r>
      <w:proofErr w:type="spellStart"/>
      <w:r w:rsidRPr="00CD1AD0">
        <w:rPr>
          <w:rFonts w:ascii="Arial" w:eastAsia="+mn-ea" w:hAnsi="Arial" w:cs="Arial"/>
          <w:kern w:val="24"/>
          <w:sz w:val="24"/>
          <w:szCs w:val="24"/>
          <w:lang w:eastAsia="ru-RU"/>
        </w:rPr>
        <w:t>волонтёрство</w:t>
      </w:r>
      <w:proofErr w:type="spellEnd"/>
      <w:r w:rsidRPr="00CD1AD0">
        <w:rPr>
          <w:rFonts w:ascii="Arial" w:eastAsia="+mn-ea" w:hAnsi="Arial" w:cs="Arial"/>
          <w:kern w:val="24"/>
          <w:sz w:val="24"/>
          <w:szCs w:val="24"/>
          <w:lang w:eastAsia="ru-RU"/>
        </w:rPr>
        <w:t>, которое поможет сохранить культурное наследие для будущих поколений и сделать музеи современнее и доступнее.</w:t>
      </w:r>
    </w:p>
    <w:p w14:paraId="7A3BACEA" w14:textId="52E35868" w:rsidR="00CD1AD0" w:rsidRPr="00CD1AD0" w:rsidRDefault="00CD1AD0" w:rsidP="00CD1AD0">
      <w:pPr>
        <w:pStyle w:val="a7"/>
        <w:numPr>
          <w:ilvl w:val="0"/>
          <w:numId w:val="17"/>
        </w:numPr>
        <w:spacing w:before="120" w:line="240" w:lineRule="auto"/>
        <w:jc w:val="both"/>
        <w:rPr>
          <w:rFonts w:ascii="Arial" w:eastAsia="+mn-ea" w:hAnsi="Arial" w:cs="Arial"/>
          <w:kern w:val="24"/>
          <w:sz w:val="24"/>
          <w:szCs w:val="24"/>
          <w:lang w:eastAsia="ru-RU"/>
        </w:rPr>
        <w:sectPr w:rsidR="00CD1AD0" w:rsidRPr="00CD1AD0" w:rsidSect="007D488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CD1AD0">
        <w:rPr>
          <w:rFonts w:ascii="Arial" w:eastAsia="+mn-ea" w:hAnsi="Arial" w:cs="Arial"/>
          <w:kern w:val="24"/>
          <w:sz w:val="24"/>
          <w:szCs w:val="24"/>
          <w:lang w:eastAsia="ru-RU"/>
        </w:rPr>
        <w:t>В этих проектах волонтёры активно используют инструменты ИИ: к примеру, нейросети позволяют быстро и эффективно обрабатывать архивы, структурировать</w:t>
      </w:r>
      <w:r w:rsidR="000D21C4">
        <w:rPr>
          <w:rFonts w:ascii="Arial" w:eastAsia="+mn-ea" w:hAnsi="Arial" w:cs="Arial"/>
          <w:kern w:val="24"/>
          <w:sz w:val="24"/>
          <w:szCs w:val="24"/>
          <w:lang w:eastAsia="ru-RU"/>
        </w:rPr>
        <w:t xml:space="preserve"> данные и оцифровывать процесс</w:t>
      </w:r>
    </w:p>
    <w:p w14:paraId="3532D1C6" w14:textId="34B0811E" w:rsidR="009F100C" w:rsidRDefault="009F100C" w:rsidP="00477AEE">
      <w:pPr>
        <w:pStyle w:val="a8"/>
        <w:spacing w:before="0" w:beforeAutospacing="0" w:after="0" w:afterAutospacing="0"/>
        <w:rPr>
          <w:rFonts w:asciiTheme="minorHAnsi" w:eastAsia="Calibri" w:hAnsi="Calibri" w:cstheme="minorBidi"/>
          <w:color w:val="44546A" w:themeColor="text2"/>
          <w:kern w:val="24"/>
          <w:sz w:val="18"/>
          <w:szCs w:val="18"/>
        </w:rPr>
      </w:pPr>
    </w:p>
    <w:p w14:paraId="48B1E165" w14:textId="77777777" w:rsidR="0057525F" w:rsidRPr="00782E35" w:rsidRDefault="0057525F" w:rsidP="0057525F">
      <w:pPr>
        <w:spacing w:after="6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782E35">
        <w:rPr>
          <w:rFonts w:ascii="SB Sans Text" w:eastAsia="+mn-ea" w:hAnsi="SB Sans Text" w:cs="+mn-cs"/>
          <w:color w:val="808080" w:themeColor="background1" w:themeShade="80"/>
          <w:kern w:val="24"/>
          <w:sz w:val="16"/>
          <w:szCs w:val="16"/>
          <w:vertAlign w:val="superscript"/>
          <w:lang w:eastAsia="ru-RU"/>
        </w:rPr>
        <w:t>1</w:t>
      </w:r>
      <w:r w:rsidRPr="00782E35">
        <w:rPr>
          <w:rFonts w:ascii="SB Sans Text" w:eastAsia="+mn-ea" w:hAnsi="SB Sans Text" w:cs="+mn-cs"/>
          <w:color w:val="808080" w:themeColor="background1" w:themeShade="80"/>
          <w:kern w:val="24"/>
          <w:sz w:val="16"/>
          <w:szCs w:val="16"/>
          <w:lang w:eastAsia="ru-RU"/>
        </w:rPr>
        <w:t xml:space="preserve"> Базовая прибыль на акцию рассчитывается посредством деления прибыли (убытка), принадлежащей акционерам-держателям обыкновенных акций Банка, или прибыли (убытка) от продолжающейся деятельности, на средневзвешенное количество обыкновенных акций, находящихся в обращении в течение отчетного периода за вычетом собственных акций, выкупленных у акционеров Банка.</w:t>
      </w:r>
    </w:p>
    <w:p w14:paraId="6B20BBA0" w14:textId="77777777" w:rsidR="0057525F" w:rsidRPr="005F40B8" w:rsidRDefault="0057525F" w:rsidP="005752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B8"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2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Включает чистый расход от создания резерва по кредитам клиентам и переоценку кредитов по справедливой стоимости вследствие изменения кредитного качества.</w:t>
      </w:r>
    </w:p>
    <w:p w14:paraId="61CAE475" w14:textId="77777777" w:rsidR="0057525F" w:rsidRPr="005F40B8" w:rsidRDefault="0057525F" w:rsidP="005752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3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Без учета субординированного кредита в размере 150 млрд руб., классифицированного в качестве долевого финансового инструмента, требования по которому ранее были уступлены Банком России в пользу Минфина.</w:t>
      </w:r>
    </w:p>
    <w:p w14:paraId="3FAB3598" w14:textId="77777777" w:rsidR="0057525F" w:rsidRDefault="0057525F" w:rsidP="0057525F">
      <w:pPr>
        <w:spacing w:after="60" w:line="240" w:lineRule="auto"/>
        <w:jc w:val="both"/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4</w:t>
      </w:r>
      <w:r w:rsidRPr="005F40B8"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 xml:space="preserve"> 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Собственные средства, принадлежащие акционерам Банка / Общее количество акций в обращении (обыкновенные и привилегированные).</w:t>
      </w:r>
    </w:p>
    <w:p w14:paraId="2633E0F0" w14:textId="77777777" w:rsidR="0057525F" w:rsidRPr="005F40B8" w:rsidRDefault="0057525F" w:rsidP="005752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5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П</w:t>
      </w:r>
      <w:r w:rsidRPr="0083371B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о версии 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исследования </w:t>
      </w:r>
      <w:proofErr w:type="spellStart"/>
      <w:r w:rsidRPr="0083371B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Nilson</w:t>
      </w:r>
      <w:proofErr w:type="spellEnd"/>
      <w:r w:rsidRPr="0083371B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</w:t>
      </w:r>
      <w:proofErr w:type="spellStart"/>
      <w:r w:rsidRPr="0083371B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Report</w:t>
      </w:r>
      <w:proofErr w:type="spellEnd"/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в 2025 г. на базе результатов участников за 2024 г. </w:t>
      </w:r>
    </w:p>
    <w:p w14:paraId="2F490D10" w14:textId="77777777" w:rsidR="0057525F" w:rsidRPr="00F67664" w:rsidRDefault="0057525F" w:rsidP="005752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6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До вычета резерва под обесценение. </w:t>
      </w:r>
    </w:p>
    <w:p w14:paraId="2086E94B" w14:textId="77777777" w:rsidR="0057525F" w:rsidRPr="005F40B8" w:rsidRDefault="0057525F" w:rsidP="005752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7</w:t>
      </w:r>
      <w:r w:rsidRPr="005F40B8"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 xml:space="preserve"> 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По данным у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правленческого учета.</w:t>
      </w:r>
    </w:p>
    <w:p w14:paraId="72B0AAD9" w14:textId="77777777" w:rsidR="0057525F" w:rsidRDefault="0057525F" w:rsidP="0057525F">
      <w:pPr>
        <w:spacing w:after="60" w:line="240" w:lineRule="auto"/>
        <w:jc w:val="both"/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8</w:t>
      </w:r>
      <w:r w:rsidRPr="005F40B8"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 xml:space="preserve"> 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По списку субъектов МСП, включенных в реес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тр ФНС на 31.12.2025 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г.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В 4 квартале был пересмотр</w:t>
      </w:r>
      <w:r w:rsidRPr="00F90F1F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реестра МСП.</w:t>
      </w:r>
    </w:p>
    <w:p w14:paraId="7E974768" w14:textId="77777777" w:rsidR="0057525F" w:rsidRDefault="0057525F" w:rsidP="0057525F">
      <w:pPr>
        <w:spacing w:after="60" w:line="240" w:lineRule="auto"/>
        <w:jc w:val="both"/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position w:val="5"/>
          <w:sz w:val="16"/>
          <w:szCs w:val="16"/>
          <w:vertAlign w:val="superscript"/>
          <w:lang w:eastAsia="ru-RU"/>
        </w:rPr>
        <w:t>9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По состоянию на 31.12.2025 </w:t>
      </w:r>
      <w:r w:rsidRPr="005F40B8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г.</w:t>
      </w:r>
    </w:p>
    <w:p w14:paraId="0C9B554C" w14:textId="77777777" w:rsidR="0057525F" w:rsidRPr="004F2439" w:rsidRDefault="0057525F" w:rsidP="0057525F">
      <w:pPr>
        <w:spacing w:after="60" w:line="240" w:lineRule="auto"/>
        <w:jc w:val="both"/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</w:pPr>
      <w:r>
        <w:rPr>
          <w:rFonts w:ascii="SB Sans Text" w:eastAsia="+mn-ea" w:hAnsi="SB Sans Text" w:cs="+mn-cs"/>
          <w:color w:val="7F7F7F"/>
          <w:kern w:val="24"/>
          <w:sz w:val="16"/>
          <w:szCs w:val="16"/>
          <w:vertAlign w:val="superscript"/>
          <w:lang w:eastAsia="ru-RU"/>
        </w:rPr>
        <w:t xml:space="preserve">10 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До</w:t>
      </w:r>
      <w:r w:rsidRPr="00947147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ля </w:t>
      </w:r>
      <w:r w:rsidRPr="005A1A39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без учета секьюритизации жилищных кредитов </w:t>
      </w:r>
      <w:r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в 2025 г.</w:t>
      </w:r>
    </w:p>
    <w:p w14:paraId="7F7A9F08" w14:textId="53A2BD40" w:rsidR="00660146" w:rsidRPr="00660146" w:rsidRDefault="00660146" w:rsidP="0057525F">
      <w:pPr>
        <w:spacing w:after="60" w:line="240" w:lineRule="auto"/>
        <w:jc w:val="both"/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</w:pPr>
      <w:r w:rsidRPr="00660146">
        <w:rPr>
          <w:rFonts w:ascii="SB Sans Text" w:eastAsia="+mn-ea" w:hAnsi="SB Sans Text" w:cs="+mn-cs"/>
          <w:color w:val="7F7F7F"/>
          <w:kern w:val="24"/>
          <w:sz w:val="16"/>
          <w:szCs w:val="16"/>
          <w:vertAlign w:val="superscript"/>
          <w:lang w:eastAsia="ru-RU"/>
        </w:rPr>
        <w:t>11</w:t>
      </w:r>
      <w:r w:rsidRPr="00660146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Прогнозные данные. Итоговый расчет будет представлен по итогам подготовки консолидированной отчетности Группы </w:t>
      </w:r>
      <w:proofErr w:type="spellStart"/>
      <w:r w:rsidRPr="00660146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Сбер</w:t>
      </w:r>
      <w:proofErr w:type="spellEnd"/>
      <w:r w:rsidRPr="00660146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по РПБУ в соответствии с </w:t>
      </w:r>
      <w:proofErr w:type="spellStart"/>
      <w:r w:rsidRPr="00660146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>пруденциальными</w:t>
      </w:r>
      <w:proofErr w:type="spellEnd"/>
      <w:r w:rsidRPr="00660146">
        <w:rPr>
          <w:rFonts w:ascii="SB Sans Text" w:eastAsia="+mn-ea" w:hAnsi="SB Sans Text" w:cs="+mn-cs"/>
          <w:color w:val="7F7F7F"/>
          <w:kern w:val="24"/>
          <w:sz w:val="16"/>
          <w:szCs w:val="16"/>
          <w:lang w:eastAsia="ru-RU"/>
        </w:rPr>
        <w:t xml:space="preserve"> требованиями.</w:t>
      </w:r>
    </w:p>
    <w:p w14:paraId="423C34A9" w14:textId="77777777" w:rsidR="007965EA" w:rsidRDefault="007965EA" w:rsidP="009F100C">
      <w:pPr>
        <w:pStyle w:val="a8"/>
        <w:spacing w:before="0" w:beforeAutospacing="0" w:after="60" w:afterAutospacing="0"/>
      </w:pPr>
    </w:p>
    <w:p w14:paraId="42BB614D" w14:textId="77777777" w:rsidR="000D21C4" w:rsidRDefault="000D21C4" w:rsidP="00BD0AC2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EE3014D" w14:textId="77777777" w:rsidR="000D21C4" w:rsidRDefault="000D21C4" w:rsidP="00BD0AC2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C62D9CD" w14:textId="2990B0FF" w:rsidR="009F100C" w:rsidRPr="00BD0AC2" w:rsidRDefault="009F100C" w:rsidP="00BD0AC2">
      <w:pPr>
        <w:spacing w:after="0" w:line="240" w:lineRule="auto"/>
        <w:jc w:val="center"/>
        <w:rPr>
          <w:rFonts w:ascii="Arial" w:eastAsia="Calibri" w:hAnsi="Arial" w:cs="Arial"/>
        </w:rPr>
      </w:pPr>
      <w:r w:rsidRPr="00BD0AC2">
        <w:rPr>
          <w:rFonts w:ascii="Arial" w:eastAsia="Calibri" w:hAnsi="Arial" w:cs="Arial"/>
        </w:rPr>
        <w:t># # #</w:t>
      </w:r>
    </w:p>
    <w:p w14:paraId="407C689D" w14:textId="77777777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C62067" w14:textId="77777777" w:rsidR="009F100C" w:rsidRPr="00BD0AC2" w:rsidRDefault="009F100C" w:rsidP="00BD0AC2">
      <w:pPr>
        <w:spacing w:after="0" w:line="240" w:lineRule="auto"/>
        <w:jc w:val="both"/>
        <w:rPr>
          <w:rFonts w:ascii="Arial" w:eastAsia="Calibri" w:hAnsi="Arial" w:cs="Arial"/>
          <w:lang w:eastAsia="ru-RU"/>
        </w:rPr>
      </w:pPr>
      <w:r w:rsidRPr="00BD0AC2">
        <w:rPr>
          <w:rFonts w:ascii="Arial" w:hAnsi="Arial" w:cs="Arial"/>
          <w:b/>
          <w:bCs/>
        </w:rPr>
        <w:t>Ограничение ответственности</w:t>
      </w:r>
    </w:p>
    <w:p w14:paraId="6ED619A8" w14:textId="77777777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Настоящий пресс-релиз подготовлен ПАО Сбербанк («Банк»), и включенные в него данные не подвергались независимой проверке. Настоящий пресс-релиз не представляет собой ни полностью, ни частично предложение о продаже или выпуске, приглашение к направлению предложений о продаже или выпуске или рекомендацию в отношении покупки, подписки, гарантии размещения или иного приобретения каких-либо акций Банка или любого участника группы Банка или каких-либо ценных бумаг, представляющих такие акции, или каких-либо иных ценных бумаг указанных лиц, и её не следует толковать в качестве такового или таковой, и ни настоящий пресс релиз или какая-либо его часть, ни сам факт его представления или распространения не являются основанием для какого-либо контракта, обязательства или инвестиционного решения, и на них не следует полагаться в связи с каким-либо контрактом, обязательством или инвестиционным решением. Информация, включенная в настоящий пресс-релиз, является конфиденциальной и предоставляется вам исключительно для ознакомления и не подлежит воспроизведению, передаче или дальнейшему распространению каким-либо иным лицам или полной, или частичной публикации для каких-либо целей.</w:t>
      </w:r>
    </w:p>
    <w:p w14:paraId="1E5C9336" w14:textId="77777777" w:rsidR="005911FB" w:rsidRDefault="005911FB" w:rsidP="00BD0AC2">
      <w:pPr>
        <w:spacing w:after="0" w:line="240" w:lineRule="auto"/>
        <w:jc w:val="both"/>
        <w:rPr>
          <w:rFonts w:ascii="Arial" w:hAnsi="Arial" w:cs="Arial"/>
        </w:rPr>
      </w:pPr>
    </w:p>
    <w:p w14:paraId="26A3472E" w14:textId="7E83B8FC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Настоящий пресс-релиз не представляет собой предложение или приглашение к направлению предложений покупки, продажи, обмена или передачи ценных бумаг в России или в пользу, или в интересах российских лиц, и не является рекламой ценных бумаг в России. «Размещение» или «обращение» в России иностранных ценных бумаг, представляющих акции Банка, не предусматривается, за исключением случаев, когда это разрешено российским законодательством.</w:t>
      </w:r>
    </w:p>
    <w:p w14:paraId="646F4EF5" w14:textId="77777777" w:rsidR="005911FB" w:rsidRDefault="005911FB" w:rsidP="00BD0AC2">
      <w:pPr>
        <w:spacing w:after="0" w:line="240" w:lineRule="auto"/>
        <w:jc w:val="both"/>
        <w:rPr>
          <w:rFonts w:ascii="Arial" w:hAnsi="Arial" w:cs="Arial"/>
        </w:rPr>
      </w:pPr>
    </w:p>
    <w:p w14:paraId="60EE8102" w14:textId="6088353D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Информация, приведенная в настоящем пресс-релизе, или озвученная в устных сообщениях руководства Банка, может содержать заявления прогнозного характера. Заявления прогнозного характера могут быть сделаны в отношении любых фактов, исключая факты, отнесенные к прошлым периодам, а также включать заявления касательно намерений, убеждений и текущих ожиданий Банка в отношении, помимо прочего, результатов деятельности Банка, его финансового положения, ликвидности, перспектив, роста, целевых показателей, стратегии и отрасли, в которой Банк ведет свою деятельность. По своей сути заявления прогнозного характера связаны с рисками и неопределенностями, поскольку они относятся к событиям и зависят от обстоятельств, которые могут произойти или не произойти в будущем. Банк предупреждает вас, что заявления прогнозного характера не являются гарантией будущих показателей, и фактические результаты деятельности Банка, его финансовое положение, ликвидность и события в отрасли, в которой Банк осуществляет свою деятельность, могут существенным образом отличаться от прямо выраженных или подразумеваемых в таких заявлениях прогнозного характера, приведенных в настоящем пресс-релизе или озвученных в устных заявлениях руководства Банка. Кроме того, даже если фактические результаты деятельности, финансовое положение, ликвидность и события в отрасли, в которой Банк осуществляет свою деятельность, будут соответствовать заявлениям прогнозного характера, приведенным в настоящем пресс-релизе или озвученным в устных заявлениях, эти результаты или события не могут рассматриваться в качестве показателя результатов деятельности и возможных событий в будущем.</w:t>
      </w:r>
    </w:p>
    <w:p w14:paraId="14461E97" w14:textId="77777777" w:rsidR="005911FB" w:rsidRDefault="005911FB" w:rsidP="00BD0AC2">
      <w:pPr>
        <w:spacing w:after="0" w:line="240" w:lineRule="auto"/>
        <w:jc w:val="both"/>
        <w:rPr>
          <w:rFonts w:ascii="Arial" w:hAnsi="Arial" w:cs="Arial"/>
        </w:rPr>
      </w:pPr>
    </w:p>
    <w:p w14:paraId="38D806A3" w14:textId="1D34F921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Информация и мнения, приведенные в настоящем пресс-релизе или в устных заявлениях руководства Банка, предоставляются по состоянию на дату настоящего пресс-релиза и могут быть изменены без предварительного уведомления. На информацию, включенную в настоящий пресс-релиз, и в устные заявления руководства Банка, а также на ее полноту для каких-либо целей полагаться не следует. Ни Банк, ни его дочерние общества, ни их соответствующие консультанты, должностные лица, сотрудники или агенты не предоставляют каких-либо заверений или гарантий в отношении точности информации или мнений, или каких-либо убытков, возникших каким бы то ни было образом, прямо или косвенно, в результате использования настоящего пресс-релиза или его содержания.</w:t>
      </w:r>
    </w:p>
    <w:p w14:paraId="4552EF4B" w14:textId="77777777" w:rsidR="005911FB" w:rsidRDefault="005911FB" w:rsidP="00BD0AC2">
      <w:pPr>
        <w:spacing w:after="0" w:line="240" w:lineRule="auto"/>
        <w:jc w:val="both"/>
        <w:rPr>
          <w:rFonts w:ascii="Arial" w:hAnsi="Arial" w:cs="Arial"/>
        </w:rPr>
      </w:pPr>
    </w:p>
    <w:p w14:paraId="52837E0B" w14:textId="611031CA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Настоящий пресс-релиз не адресован и не предназначен для распространения или использования каким-либо лицом или организацией, которое является гражданином или резидентом, или находится в каком-либо месте, государстве, стране или иной юрисдикции, где такое распространение, публикация или использование противоречат требованиям законодательства или где для этого в любой такой юрисдикции необходима регистрация или лицензия.</w:t>
      </w:r>
    </w:p>
    <w:p w14:paraId="01241026" w14:textId="77777777" w:rsidR="005911FB" w:rsidRDefault="005911FB" w:rsidP="00BD0AC2">
      <w:pPr>
        <w:spacing w:after="0" w:line="240" w:lineRule="auto"/>
        <w:jc w:val="both"/>
        <w:rPr>
          <w:rFonts w:ascii="Arial" w:hAnsi="Arial" w:cs="Arial"/>
        </w:rPr>
      </w:pPr>
    </w:p>
    <w:p w14:paraId="19875C3E" w14:textId="19B2F314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Вы не должны хранить копии настоящего пресс-релиза. </w:t>
      </w:r>
    </w:p>
    <w:p w14:paraId="2174965D" w14:textId="77777777" w:rsidR="005911FB" w:rsidRDefault="005911FB" w:rsidP="00BD0AC2">
      <w:pPr>
        <w:spacing w:after="0" w:line="240" w:lineRule="auto"/>
        <w:jc w:val="both"/>
        <w:rPr>
          <w:rFonts w:ascii="Arial" w:hAnsi="Arial" w:cs="Arial"/>
        </w:rPr>
      </w:pPr>
    </w:p>
    <w:p w14:paraId="78EA6DBE" w14:textId="5F8C3906" w:rsidR="009F100C" w:rsidRPr="00BD0AC2" w:rsidRDefault="009F100C" w:rsidP="00BD0AC2">
      <w:pPr>
        <w:spacing w:after="0" w:line="240" w:lineRule="auto"/>
        <w:jc w:val="both"/>
        <w:rPr>
          <w:rFonts w:ascii="Arial" w:hAnsi="Arial" w:cs="Arial"/>
        </w:rPr>
      </w:pPr>
      <w:r w:rsidRPr="00BD0AC2">
        <w:rPr>
          <w:rFonts w:ascii="Arial" w:hAnsi="Arial" w:cs="Arial"/>
        </w:rPr>
        <w:t>Изучая настоящий пресс-релиз, вы подтверждаете согласие с вышеуказанными положениями и обязуетесь их соблюдать.</w:t>
      </w:r>
    </w:p>
    <w:p w14:paraId="54810D34" w14:textId="77777777" w:rsidR="004F1B1F" w:rsidRDefault="004F1B1F" w:rsidP="009B370D">
      <w:pPr>
        <w:spacing w:before="120" w:line="240" w:lineRule="auto"/>
        <w:rPr>
          <w:rFonts w:ascii="Arial" w:eastAsia="+mn-ea" w:hAnsi="Arial" w:cs="Arial"/>
          <w:b/>
          <w:bCs/>
          <w:color w:val="00AC84"/>
          <w:kern w:val="24"/>
          <w:sz w:val="32"/>
          <w:szCs w:val="32"/>
          <w:lang w:eastAsia="ru-RU"/>
        </w:rPr>
      </w:pPr>
    </w:p>
    <w:p w14:paraId="75E47567" w14:textId="77777777" w:rsidR="004F1B1F" w:rsidRDefault="004F1B1F" w:rsidP="009B370D">
      <w:pPr>
        <w:spacing w:before="120" w:line="240" w:lineRule="auto"/>
        <w:rPr>
          <w:rFonts w:ascii="Arial" w:eastAsia="+mn-ea" w:hAnsi="Arial" w:cs="Arial"/>
          <w:b/>
          <w:bCs/>
          <w:color w:val="00AC84"/>
          <w:kern w:val="24"/>
          <w:sz w:val="32"/>
          <w:szCs w:val="32"/>
          <w:lang w:eastAsia="ru-RU"/>
        </w:rPr>
      </w:pPr>
    </w:p>
    <w:p w14:paraId="5878F7BD" w14:textId="77777777" w:rsidR="009F1EAD" w:rsidRDefault="009F1EAD" w:rsidP="009B370D">
      <w:pPr>
        <w:spacing w:before="120" w:line="240" w:lineRule="auto"/>
        <w:rPr>
          <w:rFonts w:ascii="Arial" w:eastAsia="+mn-ea" w:hAnsi="Arial" w:cs="Arial"/>
          <w:b/>
          <w:bCs/>
          <w:color w:val="00AC84"/>
          <w:kern w:val="24"/>
          <w:sz w:val="32"/>
          <w:szCs w:val="32"/>
          <w:lang w:eastAsia="ru-RU"/>
        </w:rPr>
      </w:pPr>
    </w:p>
    <w:p w14:paraId="33C4E94C" w14:textId="77777777" w:rsidR="009F1EAD" w:rsidRDefault="009F1EAD" w:rsidP="009B370D">
      <w:pPr>
        <w:spacing w:before="120" w:line="240" w:lineRule="auto"/>
        <w:rPr>
          <w:rFonts w:ascii="Arial" w:eastAsia="+mn-ea" w:hAnsi="Arial" w:cs="Arial"/>
          <w:b/>
          <w:bCs/>
          <w:color w:val="00AC84"/>
          <w:kern w:val="24"/>
          <w:sz w:val="32"/>
          <w:szCs w:val="32"/>
          <w:lang w:eastAsia="ru-RU"/>
        </w:rPr>
      </w:pPr>
    </w:p>
    <w:p w14:paraId="0597A79B" w14:textId="35FC25F8" w:rsidR="009F1EAD" w:rsidRPr="002A40FB" w:rsidRDefault="009F1EAD" w:rsidP="009B370D">
      <w:pPr>
        <w:spacing w:before="120" w:line="240" w:lineRule="auto"/>
        <w:rPr>
          <w:rFonts w:ascii="Arial" w:eastAsia="+mn-ea" w:hAnsi="Arial" w:cs="Arial"/>
          <w:b/>
          <w:bCs/>
          <w:color w:val="00AC84"/>
          <w:kern w:val="24"/>
          <w:sz w:val="32"/>
          <w:szCs w:val="32"/>
          <w:lang w:eastAsia="ru-RU"/>
        </w:rPr>
      </w:pPr>
    </w:p>
    <w:sectPr w:rsidR="009F1EAD" w:rsidRPr="002A40FB" w:rsidSect="009B370D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C863A" w14:textId="77777777" w:rsidR="007E2EBC" w:rsidRDefault="007E2EBC" w:rsidP="00410A02">
      <w:pPr>
        <w:spacing w:after="0" w:line="240" w:lineRule="auto"/>
      </w:pPr>
      <w:r>
        <w:separator/>
      </w:r>
    </w:p>
  </w:endnote>
  <w:endnote w:type="continuationSeparator" w:id="0">
    <w:p w14:paraId="0C7AB3EF" w14:textId="77777777" w:rsidR="007E2EBC" w:rsidRDefault="007E2EBC" w:rsidP="00410A02">
      <w:pPr>
        <w:spacing w:after="0" w:line="240" w:lineRule="auto"/>
      </w:pPr>
      <w:r>
        <w:continuationSeparator/>
      </w:r>
    </w:p>
  </w:endnote>
  <w:endnote w:type="continuationNotice" w:id="1">
    <w:p w14:paraId="1CE267C1" w14:textId="77777777" w:rsidR="007E2EBC" w:rsidRDefault="007E2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B Sans Text">
    <w:altName w:val="Calibri"/>
    <w:charset w:val="CC"/>
    <w:family w:val="swiss"/>
    <w:pitch w:val="variable"/>
    <w:sig w:usb0="A00002FF" w:usb1="5000205B" w:usb2="00000008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B Sans Display Light">
    <w:altName w:val="Calibri"/>
    <w:charset w:val="CC"/>
    <w:family w:val="swiss"/>
    <w:pitch w:val="variable"/>
    <w:sig w:usb0="A00002FF" w:usb1="5000205B" w:usb2="00000008" w:usb3="00000000" w:csb0="00000097" w:csb1="00000000"/>
  </w:font>
  <w:font w:name="SB Sans Display">
    <w:altName w:val="Calibri"/>
    <w:charset w:val="CC"/>
    <w:family w:val="swiss"/>
    <w:pitch w:val="variable"/>
    <w:sig w:usb0="A00002FF" w:usb1="5000205B" w:usb2="00000008" w:usb3="00000000" w:csb0="00000097" w:csb1="00000000"/>
  </w:font>
  <w:font w:name="+mn-cs">
    <w:panose1 w:val="00000000000000000000"/>
    <w:charset w:val="00"/>
    <w:family w:val="roman"/>
    <w:notTrueType/>
    <w:pitch w:val="default"/>
  </w:font>
  <w:font w:name="SB Sans Text Light">
    <w:altName w:val="Calibri"/>
    <w:charset w:val="CC"/>
    <w:family w:val="swiss"/>
    <w:pitch w:val="variable"/>
    <w:sig w:usb0="A00002FF" w:usb1="5000205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1BE3" w14:textId="77777777" w:rsidR="00261058" w:rsidRDefault="00261058">
    <w:pPr>
      <w:pStyle w:val="a5"/>
    </w:pPr>
    <w:r>
      <w:rPr>
        <w:noProof/>
        <w:lang w:eastAsia="ru-RU"/>
      </w:rPr>
      <w:drawing>
        <wp:inline distT="0" distB="0" distL="0" distR="0" wp14:anchorId="01CB8F98" wp14:editId="7950679F">
          <wp:extent cx="9526" cy="9526"/>
          <wp:effectExtent l="0" t="0" r="0" b="0"/>
          <wp:docPr id="12" name="Рисунок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F975" w14:textId="77777777" w:rsidR="007E2EBC" w:rsidRDefault="007E2EBC" w:rsidP="00410A02">
      <w:pPr>
        <w:spacing w:after="0" w:line="240" w:lineRule="auto"/>
      </w:pPr>
      <w:r>
        <w:separator/>
      </w:r>
    </w:p>
  </w:footnote>
  <w:footnote w:type="continuationSeparator" w:id="0">
    <w:p w14:paraId="2C788FA7" w14:textId="77777777" w:rsidR="007E2EBC" w:rsidRDefault="007E2EBC" w:rsidP="00410A02">
      <w:pPr>
        <w:spacing w:after="0" w:line="240" w:lineRule="auto"/>
      </w:pPr>
      <w:r>
        <w:continuationSeparator/>
      </w:r>
    </w:p>
  </w:footnote>
  <w:footnote w:type="continuationNotice" w:id="1">
    <w:p w14:paraId="33192283" w14:textId="77777777" w:rsidR="007E2EBC" w:rsidRDefault="007E2E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5A43"/>
    <w:multiLevelType w:val="hybridMultilevel"/>
    <w:tmpl w:val="297A9D6C"/>
    <w:lvl w:ilvl="0" w:tplc="DBC6D9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C004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F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C4F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08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520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60B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58F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21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D19"/>
    <w:multiLevelType w:val="hybridMultilevel"/>
    <w:tmpl w:val="B25E5D1C"/>
    <w:lvl w:ilvl="0" w:tplc="83E09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AE7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E2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A0E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42F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A7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56D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B69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425C"/>
    <w:multiLevelType w:val="hybridMultilevel"/>
    <w:tmpl w:val="0616FB90"/>
    <w:lvl w:ilvl="0" w:tplc="81589E60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1" w:tplc="6CCC2598">
      <w:start w:val="109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2" w:tplc="7B6A0BE8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</w:rPr>
    </w:lvl>
    <w:lvl w:ilvl="3" w:tplc="2DCE839C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</w:rPr>
    </w:lvl>
    <w:lvl w:ilvl="4" w:tplc="6CD0C69A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5" w:tplc="ABF088EA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</w:rPr>
    </w:lvl>
    <w:lvl w:ilvl="6" w:tplc="1F12819A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</w:rPr>
    </w:lvl>
    <w:lvl w:ilvl="7" w:tplc="65968E0C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  <w:lvl w:ilvl="8" w:tplc="F052FA88" w:tentative="1">
      <w:start w:val="1"/>
      <w:numFmt w:val="bullet"/>
      <w:lvlText w:val=""/>
      <w:lvlJc w:val="left"/>
      <w:pPr>
        <w:tabs>
          <w:tab w:val="num" w:pos="7012"/>
        </w:tabs>
        <w:ind w:left="7012" w:hanging="360"/>
      </w:pPr>
      <w:rPr>
        <w:rFonts w:ascii="Wingdings" w:hAnsi="Wingdings" w:hint="default"/>
      </w:rPr>
    </w:lvl>
  </w:abstractNum>
  <w:abstractNum w:abstractNumId="3" w15:restartNumberingAfterBreak="0">
    <w:nsid w:val="2E164C70"/>
    <w:multiLevelType w:val="hybridMultilevel"/>
    <w:tmpl w:val="5EE84DA4"/>
    <w:lvl w:ilvl="0" w:tplc="DA9A02FA">
      <w:start w:val="1"/>
      <w:numFmt w:val="bullet"/>
      <w:lvlText w:val=""/>
      <w:lvlJc w:val="left"/>
      <w:pPr>
        <w:tabs>
          <w:tab w:val="num" w:pos="86"/>
        </w:tabs>
        <w:ind w:left="86" w:hanging="360"/>
      </w:pPr>
      <w:rPr>
        <w:rFonts w:ascii="Wingdings" w:hAnsi="Wingdings" w:hint="default"/>
      </w:rPr>
    </w:lvl>
    <w:lvl w:ilvl="1" w:tplc="6D0CE338" w:tentative="1">
      <w:start w:val="1"/>
      <w:numFmt w:val="bullet"/>
      <w:lvlText w:val=""/>
      <w:lvlJc w:val="left"/>
      <w:pPr>
        <w:tabs>
          <w:tab w:val="num" w:pos="806"/>
        </w:tabs>
        <w:ind w:left="806" w:hanging="360"/>
      </w:pPr>
      <w:rPr>
        <w:rFonts w:ascii="Wingdings" w:hAnsi="Wingdings" w:hint="default"/>
      </w:rPr>
    </w:lvl>
    <w:lvl w:ilvl="2" w:tplc="9CEECFE6" w:tentative="1">
      <w:start w:val="1"/>
      <w:numFmt w:val="bullet"/>
      <w:lvlText w:val=""/>
      <w:lvlJc w:val="left"/>
      <w:pPr>
        <w:tabs>
          <w:tab w:val="num" w:pos="1526"/>
        </w:tabs>
        <w:ind w:left="1526" w:hanging="360"/>
      </w:pPr>
      <w:rPr>
        <w:rFonts w:ascii="Wingdings" w:hAnsi="Wingdings" w:hint="default"/>
      </w:rPr>
    </w:lvl>
    <w:lvl w:ilvl="3" w:tplc="6AFEFA06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4" w:tplc="5B5C44E6" w:tentative="1">
      <w:start w:val="1"/>
      <w:numFmt w:val="bullet"/>
      <w:lvlText w:val=""/>
      <w:lvlJc w:val="left"/>
      <w:pPr>
        <w:tabs>
          <w:tab w:val="num" w:pos="2966"/>
        </w:tabs>
        <w:ind w:left="2966" w:hanging="360"/>
      </w:pPr>
      <w:rPr>
        <w:rFonts w:ascii="Wingdings" w:hAnsi="Wingdings" w:hint="default"/>
      </w:rPr>
    </w:lvl>
    <w:lvl w:ilvl="5" w:tplc="A81491D8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  <w:lvl w:ilvl="6" w:tplc="9ED4B3C8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7" w:tplc="7C80AB48" w:tentative="1">
      <w:start w:val="1"/>
      <w:numFmt w:val="bullet"/>
      <w:lvlText w:val=""/>
      <w:lvlJc w:val="left"/>
      <w:pPr>
        <w:tabs>
          <w:tab w:val="num" w:pos="5126"/>
        </w:tabs>
        <w:ind w:left="5126" w:hanging="360"/>
      </w:pPr>
      <w:rPr>
        <w:rFonts w:ascii="Wingdings" w:hAnsi="Wingdings" w:hint="default"/>
      </w:rPr>
    </w:lvl>
    <w:lvl w:ilvl="8" w:tplc="94A4EF36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</w:abstractNum>
  <w:abstractNum w:abstractNumId="4" w15:restartNumberingAfterBreak="0">
    <w:nsid w:val="39BB72FD"/>
    <w:multiLevelType w:val="hybridMultilevel"/>
    <w:tmpl w:val="535EB2F8"/>
    <w:lvl w:ilvl="0" w:tplc="46F6D0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6FB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A8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A76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672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F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8CB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942C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60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8EE"/>
    <w:multiLevelType w:val="hybridMultilevel"/>
    <w:tmpl w:val="890E8110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4FB05FC9"/>
    <w:multiLevelType w:val="hybridMultilevel"/>
    <w:tmpl w:val="CB3C4378"/>
    <w:lvl w:ilvl="0" w:tplc="C9704D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218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A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CD6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E51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AB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27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2B8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881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B64E9"/>
    <w:multiLevelType w:val="hybridMultilevel"/>
    <w:tmpl w:val="2BC2F978"/>
    <w:lvl w:ilvl="0" w:tplc="0A76D0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66B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4C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2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A97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E3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8AD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038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4790"/>
    <w:multiLevelType w:val="hybridMultilevel"/>
    <w:tmpl w:val="98380F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16DFE"/>
    <w:multiLevelType w:val="hybridMultilevel"/>
    <w:tmpl w:val="DE9CC166"/>
    <w:lvl w:ilvl="0" w:tplc="DF80B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CB1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CCB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01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A4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23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4B2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A2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4D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1D65"/>
    <w:multiLevelType w:val="hybridMultilevel"/>
    <w:tmpl w:val="E4762C26"/>
    <w:lvl w:ilvl="0" w:tplc="F84E58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8CD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03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4FD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A4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05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62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21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8B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6352F"/>
    <w:multiLevelType w:val="hybridMultilevel"/>
    <w:tmpl w:val="179E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521C3"/>
    <w:multiLevelType w:val="hybridMultilevel"/>
    <w:tmpl w:val="ED2A13AA"/>
    <w:lvl w:ilvl="0" w:tplc="D0CA77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6A720">
      <w:start w:val="10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03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E6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0B9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AE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87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885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25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401D9"/>
    <w:multiLevelType w:val="hybridMultilevel"/>
    <w:tmpl w:val="439C4DFA"/>
    <w:lvl w:ilvl="0" w:tplc="E66EB0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84B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A3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EE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4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29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67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45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01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C7955"/>
    <w:multiLevelType w:val="hybridMultilevel"/>
    <w:tmpl w:val="E94E081C"/>
    <w:lvl w:ilvl="0" w:tplc="6FE4116A">
      <w:start w:val="1"/>
      <w:numFmt w:val="bullet"/>
      <w:lvlText w:val=""/>
      <w:lvlJc w:val="left"/>
      <w:pPr>
        <w:tabs>
          <w:tab w:val="num" w:pos="-576"/>
        </w:tabs>
        <w:ind w:left="-576" w:hanging="360"/>
      </w:pPr>
      <w:rPr>
        <w:rFonts w:ascii="Wingdings" w:hAnsi="Wingdings" w:hint="default"/>
      </w:rPr>
    </w:lvl>
    <w:lvl w:ilvl="1" w:tplc="77FED554" w:tentative="1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2" w:tplc="B6324E86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3" w:tplc="D7D00652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4" w:tplc="B5F4FC4E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5" w:tplc="F9B8ABFA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 w:tplc="26468E00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7" w:tplc="27E4B118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8" w:tplc="59CA1FD0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</w:abstractNum>
  <w:abstractNum w:abstractNumId="15" w15:restartNumberingAfterBreak="0">
    <w:nsid w:val="74D86348"/>
    <w:multiLevelType w:val="hybridMultilevel"/>
    <w:tmpl w:val="148ED418"/>
    <w:lvl w:ilvl="0" w:tplc="4A7E3B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4BD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C1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66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80F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0E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EF9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CC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B5926"/>
    <w:multiLevelType w:val="hybridMultilevel"/>
    <w:tmpl w:val="A8EE4BBE"/>
    <w:lvl w:ilvl="0" w:tplc="0BC6E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4D7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585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A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04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29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6EB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E78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A8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3"/>
  </w:num>
  <w:num w:numId="9">
    <w:abstractNumId w:val="15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  <w:num w:numId="15">
    <w:abstractNumId w:val="6"/>
  </w:num>
  <w:num w:numId="16">
    <w:abstractNumId w:val="5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02"/>
    <w:rsid w:val="00010744"/>
    <w:rsid w:val="00021E93"/>
    <w:rsid w:val="00024879"/>
    <w:rsid w:val="0003106D"/>
    <w:rsid w:val="00031806"/>
    <w:rsid w:val="00033D33"/>
    <w:rsid w:val="000431A4"/>
    <w:rsid w:val="0005281E"/>
    <w:rsid w:val="00057D44"/>
    <w:rsid w:val="00061FA8"/>
    <w:rsid w:val="00066BD2"/>
    <w:rsid w:val="000700DF"/>
    <w:rsid w:val="00073158"/>
    <w:rsid w:val="000731BC"/>
    <w:rsid w:val="0007415F"/>
    <w:rsid w:val="00076DC7"/>
    <w:rsid w:val="00076F71"/>
    <w:rsid w:val="000776C9"/>
    <w:rsid w:val="0009300F"/>
    <w:rsid w:val="000A45E3"/>
    <w:rsid w:val="000A5001"/>
    <w:rsid w:val="000A60D3"/>
    <w:rsid w:val="000A758F"/>
    <w:rsid w:val="000A7960"/>
    <w:rsid w:val="000B4D98"/>
    <w:rsid w:val="000B7814"/>
    <w:rsid w:val="000B7ECC"/>
    <w:rsid w:val="000C1319"/>
    <w:rsid w:val="000D04EF"/>
    <w:rsid w:val="000D0867"/>
    <w:rsid w:val="000D21C4"/>
    <w:rsid w:val="000D36D2"/>
    <w:rsid w:val="000D5E55"/>
    <w:rsid w:val="000E03C2"/>
    <w:rsid w:val="000E17FE"/>
    <w:rsid w:val="000E379F"/>
    <w:rsid w:val="000F44F3"/>
    <w:rsid w:val="001009BC"/>
    <w:rsid w:val="00102023"/>
    <w:rsid w:val="00102ECB"/>
    <w:rsid w:val="00113706"/>
    <w:rsid w:val="001166BE"/>
    <w:rsid w:val="00122F18"/>
    <w:rsid w:val="00131575"/>
    <w:rsid w:val="001354B7"/>
    <w:rsid w:val="00142FCA"/>
    <w:rsid w:val="001461D6"/>
    <w:rsid w:val="00152A25"/>
    <w:rsid w:val="00152F7F"/>
    <w:rsid w:val="001626C0"/>
    <w:rsid w:val="00165AF4"/>
    <w:rsid w:val="001803AC"/>
    <w:rsid w:val="00183D1E"/>
    <w:rsid w:val="001905B9"/>
    <w:rsid w:val="00194CC6"/>
    <w:rsid w:val="001A4466"/>
    <w:rsid w:val="001C17ED"/>
    <w:rsid w:val="001C4B3E"/>
    <w:rsid w:val="001D4B46"/>
    <w:rsid w:val="001F474E"/>
    <w:rsid w:val="001F64BF"/>
    <w:rsid w:val="0020145E"/>
    <w:rsid w:val="00212AC2"/>
    <w:rsid w:val="00213067"/>
    <w:rsid w:val="00221837"/>
    <w:rsid w:val="00227127"/>
    <w:rsid w:val="00230E0F"/>
    <w:rsid w:val="00231EF2"/>
    <w:rsid w:val="00246F34"/>
    <w:rsid w:val="00257440"/>
    <w:rsid w:val="00261058"/>
    <w:rsid w:val="002635E6"/>
    <w:rsid w:val="002652B2"/>
    <w:rsid w:val="00280A5A"/>
    <w:rsid w:val="002835AC"/>
    <w:rsid w:val="002909F6"/>
    <w:rsid w:val="0029156F"/>
    <w:rsid w:val="002A40FB"/>
    <w:rsid w:val="002A5A8A"/>
    <w:rsid w:val="002B4E42"/>
    <w:rsid w:val="002C0014"/>
    <w:rsid w:val="002C2734"/>
    <w:rsid w:val="002D71A6"/>
    <w:rsid w:val="002E2CFD"/>
    <w:rsid w:val="002F280B"/>
    <w:rsid w:val="002F44C2"/>
    <w:rsid w:val="002F4A06"/>
    <w:rsid w:val="002F5538"/>
    <w:rsid w:val="002F5CAB"/>
    <w:rsid w:val="00302425"/>
    <w:rsid w:val="00307C77"/>
    <w:rsid w:val="00315A8B"/>
    <w:rsid w:val="00325171"/>
    <w:rsid w:val="00334200"/>
    <w:rsid w:val="0033573C"/>
    <w:rsid w:val="003372A1"/>
    <w:rsid w:val="00352EAF"/>
    <w:rsid w:val="00363DC7"/>
    <w:rsid w:val="00365F1B"/>
    <w:rsid w:val="00377A36"/>
    <w:rsid w:val="00391191"/>
    <w:rsid w:val="00393150"/>
    <w:rsid w:val="003A4972"/>
    <w:rsid w:val="003A4DD6"/>
    <w:rsid w:val="003A70D3"/>
    <w:rsid w:val="003B791F"/>
    <w:rsid w:val="003C267B"/>
    <w:rsid w:val="003D4B62"/>
    <w:rsid w:val="003D61F2"/>
    <w:rsid w:val="003E13A3"/>
    <w:rsid w:val="003F5D72"/>
    <w:rsid w:val="0040097D"/>
    <w:rsid w:val="00403DEF"/>
    <w:rsid w:val="00410A02"/>
    <w:rsid w:val="00417D3B"/>
    <w:rsid w:val="00421C92"/>
    <w:rsid w:val="004221AF"/>
    <w:rsid w:val="00422B94"/>
    <w:rsid w:val="004328C9"/>
    <w:rsid w:val="00434E12"/>
    <w:rsid w:val="004417B2"/>
    <w:rsid w:val="00442731"/>
    <w:rsid w:val="0044467B"/>
    <w:rsid w:val="00461498"/>
    <w:rsid w:val="004615DA"/>
    <w:rsid w:val="00464472"/>
    <w:rsid w:val="00466574"/>
    <w:rsid w:val="00467BDA"/>
    <w:rsid w:val="004720A6"/>
    <w:rsid w:val="00477AEE"/>
    <w:rsid w:val="00492864"/>
    <w:rsid w:val="00496BE1"/>
    <w:rsid w:val="00497DB9"/>
    <w:rsid w:val="004A7125"/>
    <w:rsid w:val="004B0A19"/>
    <w:rsid w:val="004B2244"/>
    <w:rsid w:val="004B35F4"/>
    <w:rsid w:val="004C2509"/>
    <w:rsid w:val="004C428F"/>
    <w:rsid w:val="004C4377"/>
    <w:rsid w:val="004E1CCD"/>
    <w:rsid w:val="004E1F02"/>
    <w:rsid w:val="004E27D1"/>
    <w:rsid w:val="004E3A58"/>
    <w:rsid w:val="004E6935"/>
    <w:rsid w:val="004F1B1F"/>
    <w:rsid w:val="004F2048"/>
    <w:rsid w:val="004F2439"/>
    <w:rsid w:val="004F415F"/>
    <w:rsid w:val="00510559"/>
    <w:rsid w:val="0052192A"/>
    <w:rsid w:val="0052212E"/>
    <w:rsid w:val="00525B3C"/>
    <w:rsid w:val="0056388C"/>
    <w:rsid w:val="00567DE7"/>
    <w:rsid w:val="0057525F"/>
    <w:rsid w:val="005911FB"/>
    <w:rsid w:val="00591D3E"/>
    <w:rsid w:val="005967FE"/>
    <w:rsid w:val="005A187D"/>
    <w:rsid w:val="005C2E87"/>
    <w:rsid w:val="005D58F8"/>
    <w:rsid w:val="005D6E26"/>
    <w:rsid w:val="005F1B5A"/>
    <w:rsid w:val="0060148E"/>
    <w:rsid w:val="00602248"/>
    <w:rsid w:val="00604E0F"/>
    <w:rsid w:val="00607129"/>
    <w:rsid w:val="00623137"/>
    <w:rsid w:val="0062367A"/>
    <w:rsid w:val="00625779"/>
    <w:rsid w:val="00640664"/>
    <w:rsid w:val="00660146"/>
    <w:rsid w:val="006614E5"/>
    <w:rsid w:val="00675A6D"/>
    <w:rsid w:val="00685C9F"/>
    <w:rsid w:val="006B0D4B"/>
    <w:rsid w:val="006B2584"/>
    <w:rsid w:val="006D2997"/>
    <w:rsid w:val="006F01F1"/>
    <w:rsid w:val="006F1780"/>
    <w:rsid w:val="006F31D4"/>
    <w:rsid w:val="00700485"/>
    <w:rsid w:val="00700D7A"/>
    <w:rsid w:val="00700EB3"/>
    <w:rsid w:val="00702EAE"/>
    <w:rsid w:val="007131C3"/>
    <w:rsid w:val="00713352"/>
    <w:rsid w:val="00713639"/>
    <w:rsid w:val="00715E3C"/>
    <w:rsid w:val="00745C1A"/>
    <w:rsid w:val="00747E74"/>
    <w:rsid w:val="007566D3"/>
    <w:rsid w:val="007629B4"/>
    <w:rsid w:val="0077089E"/>
    <w:rsid w:val="007731A1"/>
    <w:rsid w:val="00776A37"/>
    <w:rsid w:val="00791BFA"/>
    <w:rsid w:val="0079603E"/>
    <w:rsid w:val="007965EA"/>
    <w:rsid w:val="007968AD"/>
    <w:rsid w:val="00796F0E"/>
    <w:rsid w:val="007A48F3"/>
    <w:rsid w:val="007A6669"/>
    <w:rsid w:val="007B0FBD"/>
    <w:rsid w:val="007B61BD"/>
    <w:rsid w:val="007D30C3"/>
    <w:rsid w:val="007D4886"/>
    <w:rsid w:val="007E0A11"/>
    <w:rsid w:val="007E2EBC"/>
    <w:rsid w:val="007E2F82"/>
    <w:rsid w:val="007E31FC"/>
    <w:rsid w:val="007E628A"/>
    <w:rsid w:val="007F1166"/>
    <w:rsid w:val="007F69E1"/>
    <w:rsid w:val="00802662"/>
    <w:rsid w:val="00805D33"/>
    <w:rsid w:val="00806474"/>
    <w:rsid w:val="00812FED"/>
    <w:rsid w:val="008177E0"/>
    <w:rsid w:val="0082109C"/>
    <w:rsid w:val="0082771F"/>
    <w:rsid w:val="0083324B"/>
    <w:rsid w:val="0084429C"/>
    <w:rsid w:val="00852D60"/>
    <w:rsid w:val="00863C26"/>
    <w:rsid w:val="00865D4C"/>
    <w:rsid w:val="00870F60"/>
    <w:rsid w:val="00871778"/>
    <w:rsid w:val="008744A1"/>
    <w:rsid w:val="00874D11"/>
    <w:rsid w:val="008807AD"/>
    <w:rsid w:val="008814B0"/>
    <w:rsid w:val="00885EDC"/>
    <w:rsid w:val="0089496C"/>
    <w:rsid w:val="008959B8"/>
    <w:rsid w:val="008A66FE"/>
    <w:rsid w:val="008B33EF"/>
    <w:rsid w:val="008E42B0"/>
    <w:rsid w:val="008E5126"/>
    <w:rsid w:val="008E5CF4"/>
    <w:rsid w:val="008F0F19"/>
    <w:rsid w:val="008F6DF3"/>
    <w:rsid w:val="008F7B3B"/>
    <w:rsid w:val="00902C88"/>
    <w:rsid w:val="00905DCA"/>
    <w:rsid w:val="0090659A"/>
    <w:rsid w:val="009114CD"/>
    <w:rsid w:val="00915356"/>
    <w:rsid w:val="00917C73"/>
    <w:rsid w:val="00917E87"/>
    <w:rsid w:val="0092369C"/>
    <w:rsid w:val="009276C8"/>
    <w:rsid w:val="00930A8B"/>
    <w:rsid w:val="00930E46"/>
    <w:rsid w:val="009348EE"/>
    <w:rsid w:val="00943835"/>
    <w:rsid w:val="009476A2"/>
    <w:rsid w:val="0095754C"/>
    <w:rsid w:val="00965FDF"/>
    <w:rsid w:val="00966248"/>
    <w:rsid w:val="00971A31"/>
    <w:rsid w:val="00974398"/>
    <w:rsid w:val="009760BE"/>
    <w:rsid w:val="00976D71"/>
    <w:rsid w:val="00980C01"/>
    <w:rsid w:val="00982DD6"/>
    <w:rsid w:val="009A4A16"/>
    <w:rsid w:val="009A576E"/>
    <w:rsid w:val="009B0F38"/>
    <w:rsid w:val="009B2F83"/>
    <w:rsid w:val="009B370D"/>
    <w:rsid w:val="009B527C"/>
    <w:rsid w:val="009C700A"/>
    <w:rsid w:val="009D374D"/>
    <w:rsid w:val="009E5A24"/>
    <w:rsid w:val="009E650E"/>
    <w:rsid w:val="009F100C"/>
    <w:rsid w:val="009F13A3"/>
    <w:rsid w:val="009F1EAD"/>
    <w:rsid w:val="009F3D9E"/>
    <w:rsid w:val="00A00022"/>
    <w:rsid w:val="00A0185F"/>
    <w:rsid w:val="00A03242"/>
    <w:rsid w:val="00A10749"/>
    <w:rsid w:val="00A1447B"/>
    <w:rsid w:val="00A15B74"/>
    <w:rsid w:val="00A210BA"/>
    <w:rsid w:val="00A22D51"/>
    <w:rsid w:val="00A22F9E"/>
    <w:rsid w:val="00A23E9D"/>
    <w:rsid w:val="00A36E2D"/>
    <w:rsid w:val="00A40A50"/>
    <w:rsid w:val="00A6009F"/>
    <w:rsid w:val="00A71B22"/>
    <w:rsid w:val="00A733FD"/>
    <w:rsid w:val="00A82BDC"/>
    <w:rsid w:val="00A84A5A"/>
    <w:rsid w:val="00A851FF"/>
    <w:rsid w:val="00AA4CDA"/>
    <w:rsid w:val="00AB0156"/>
    <w:rsid w:val="00AB10E0"/>
    <w:rsid w:val="00AB52C5"/>
    <w:rsid w:val="00AC622D"/>
    <w:rsid w:val="00AC738E"/>
    <w:rsid w:val="00AD1FD8"/>
    <w:rsid w:val="00AE453A"/>
    <w:rsid w:val="00AE5116"/>
    <w:rsid w:val="00AE70B0"/>
    <w:rsid w:val="00AF0191"/>
    <w:rsid w:val="00B017BB"/>
    <w:rsid w:val="00B048EB"/>
    <w:rsid w:val="00B131C8"/>
    <w:rsid w:val="00B217F4"/>
    <w:rsid w:val="00B266F1"/>
    <w:rsid w:val="00B26D37"/>
    <w:rsid w:val="00B31017"/>
    <w:rsid w:val="00B341F3"/>
    <w:rsid w:val="00B41707"/>
    <w:rsid w:val="00B44A87"/>
    <w:rsid w:val="00B4762F"/>
    <w:rsid w:val="00B47E08"/>
    <w:rsid w:val="00B548AE"/>
    <w:rsid w:val="00B5760E"/>
    <w:rsid w:val="00B645AA"/>
    <w:rsid w:val="00B66841"/>
    <w:rsid w:val="00B71B4A"/>
    <w:rsid w:val="00B9171C"/>
    <w:rsid w:val="00BA003D"/>
    <w:rsid w:val="00BA0265"/>
    <w:rsid w:val="00BA6133"/>
    <w:rsid w:val="00BB2EAE"/>
    <w:rsid w:val="00BB7A5C"/>
    <w:rsid w:val="00BC122C"/>
    <w:rsid w:val="00BC3BBC"/>
    <w:rsid w:val="00BD0AC2"/>
    <w:rsid w:val="00BE647C"/>
    <w:rsid w:val="00BE769E"/>
    <w:rsid w:val="00C0178E"/>
    <w:rsid w:val="00C16EBA"/>
    <w:rsid w:val="00C20431"/>
    <w:rsid w:val="00C26C8F"/>
    <w:rsid w:val="00C2766F"/>
    <w:rsid w:val="00C30447"/>
    <w:rsid w:val="00C308D6"/>
    <w:rsid w:val="00C335DD"/>
    <w:rsid w:val="00C36112"/>
    <w:rsid w:val="00C378A1"/>
    <w:rsid w:val="00C409FE"/>
    <w:rsid w:val="00C57620"/>
    <w:rsid w:val="00C62EA6"/>
    <w:rsid w:val="00C631C3"/>
    <w:rsid w:val="00C63A66"/>
    <w:rsid w:val="00C63E80"/>
    <w:rsid w:val="00C67425"/>
    <w:rsid w:val="00C74E73"/>
    <w:rsid w:val="00C801C5"/>
    <w:rsid w:val="00C848AE"/>
    <w:rsid w:val="00C84EC4"/>
    <w:rsid w:val="00C912CE"/>
    <w:rsid w:val="00C965A1"/>
    <w:rsid w:val="00C96D92"/>
    <w:rsid w:val="00CB439A"/>
    <w:rsid w:val="00CC376C"/>
    <w:rsid w:val="00CC39EF"/>
    <w:rsid w:val="00CD1AD0"/>
    <w:rsid w:val="00CD4287"/>
    <w:rsid w:val="00CD5C1C"/>
    <w:rsid w:val="00CD6D19"/>
    <w:rsid w:val="00CF2B01"/>
    <w:rsid w:val="00CF54CA"/>
    <w:rsid w:val="00CF7CF7"/>
    <w:rsid w:val="00D07092"/>
    <w:rsid w:val="00D11959"/>
    <w:rsid w:val="00D16F1E"/>
    <w:rsid w:val="00D31630"/>
    <w:rsid w:val="00D32FDB"/>
    <w:rsid w:val="00D3415F"/>
    <w:rsid w:val="00D4204B"/>
    <w:rsid w:val="00D428C6"/>
    <w:rsid w:val="00D46F89"/>
    <w:rsid w:val="00D62717"/>
    <w:rsid w:val="00D706D6"/>
    <w:rsid w:val="00D72891"/>
    <w:rsid w:val="00D8126A"/>
    <w:rsid w:val="00D95CFA"/>
    <w:rsid w:val="00D970E3"/>
    <w:rsid w:val="00DA342D"/>
    <w:rsid w:val="00DA474D"/>
    <w:rsid w:val="00DA5132"/>
    <w:rsid w:val="00DA7573"/>
    <w:rsid w:val="00DB5D8F"/>
    <w:rsid w:val="00DD5A47"/>
    <w:rsid w:val="00DF7179"/>
    <w:rsid w:val="00E07FC3"/>
    <w:rsid w:val="00E112AA"/>
    <w:rsid w:val="00E20074"/>
    <w:rsid w:val="00E26521"/>
    <w:rsid w:val="00E27404"/>
    <w:rsid w:val="00E31834"/>
    <w:rsid w:val="00E35ACC"/>
    <w:rsid w:val="00E47C58"/>
    <w:rsid w:val="00E51CCE"/>
    <w:rsid w:val="00E54293"/>
    <w:rsid w:val="00E62B62"/>
    <w:rsid w:val="00E65C35"/>
    <w:rsid w:val="00E72225"/>
    <w:rsid w:val="00E7672D"/>
    <w:rsid w:val="00E776F9"/>
    <w:rsid w:val="00E77F5A"/>
    <w:rsid w:val="00E8297E"/>
    <w:rsid w:val="00E906ED"/>
    <w:rsid w:val="00EB1748"/>
    <w:rsid w:val="00EB283F"/>
    <w:rsid w:val="00EC1EE7"/>
    <w:rsid w:val="00EC2158"/>
    <w:rsid w:val="00ED1F5F"/>
    <w:rsid w:val="00EF46FC"/>
    <w:rsid w:val="00F0195B"/>
    <w:rsid w:val="00F025D8"/>
    <w:rsid w:val="00F02E60"/>
    <w:rsid w:val="00F04627"/>
    <w:rsid w:val="00F06319"/>
    <w:rsid w:val="00F35433"/>
    <w:rsid w:val="00F402F9"/>
    <w:rsid w:val="00F520C0"/>
    <w:rsid w:val="00F527F6"/>
    <w:rsid w:val="00F52D1C"/>
    <w:rsid w:val="00F64D88"/>
    <w:rsid w:val="00F664DD"/>
    <w:rsid w:val="00F77822"/>
    <w:rsid w:val="00F908F3"/>
    <w:rsid w:val="00FA0561"/>
    <w:rsid w:val="00FA1210"/>
    <w:rsid w:val="00FA3365"/>
    <w:rsid w:val="00FA3D69"/>
    <w:rsid w:val="00FA6B63"/>
    <w:rsid w:val="00FB463B"/>
    <w:rsid w:val="00FC3AB3"/>
    <w:rsid w:val="00FC7D49"/>
    <w:rsid w:val="00FD07FD"/>
    <w:rsid w:val="00FD5275"/>
    <w:rsid w:val="00FE12F8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06FD6"/>
  <w15:chartTrackingRefBased/>
  <w15:docId w15:val="{F490B395-C4DC-4D7B-8B95-EEF47AAE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A02"/>
  </w:style>
  <w:style w:type="paragraph" w:styleId="a5">
    <w:name w:val="footer"/>
    <w:basedOn w:val="a"/>
    <w:link w:val="a6"/>
    <w:uiPriority w:val="99"/>
    <w:unhideWhenUsed/>
    <w:rsid w:val="0041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A02"/>
  </w:style>
  <w:style w:type="paragraph" w:styleId="a7">
    <w:name w:val="List Paragraph"/>
    <w:basedOn w:val="a"/>
    <w:uiPriority w:val="34"/>
    <w:qFormat/>
    <w:rsid w:val="00410A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9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0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rsid w:val="004221AF"/>
  </w:style>
  <w:style w:type="character" w:styleId="ab">
    <w:name w:val="annotation reference"/>
    <w:basedOn w:val="a0"/>
    <w:uiPriority w:val="99"/>
    <w:semiHidden/>
    <w:unhideWhenUsed/>
    <w:rsid w:val="00315A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5A8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15A8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5A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15A8B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46447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472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D11959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461498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9B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527C"/>
    <w:rPr>
      <w:rFonts w:ascii="Segoe UI" w:hAnsi="Segoe UI" w:cs="Segoe UI"/>
      <w:sz w:val="18"/>
      <w:szCs w:val="18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7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400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41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2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24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38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00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6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2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0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9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87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75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60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8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3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5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2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99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58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61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39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44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9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8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2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7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3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8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41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676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86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3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4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3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6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9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6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4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9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40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28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76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43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81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798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0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56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2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8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087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89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7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4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9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5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1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3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0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2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18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14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18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58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20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34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69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58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0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01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8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50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12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4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92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8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6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478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9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26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5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2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56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499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7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70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18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431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397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5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2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0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01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6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4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72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29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09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319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5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6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502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0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3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73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0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94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93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37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5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3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23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637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7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04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901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0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166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16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63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31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56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6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8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0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42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17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7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03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1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49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5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76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39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5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2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2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06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7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09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82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4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1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2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7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9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67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86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9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0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1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1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7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22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16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01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920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142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5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8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74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30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58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27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1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46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0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4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96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4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451">
          <w:marLeft w:val="57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345">
          <w:marLeft w:val="57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048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62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45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976">
          <w:marLeft w:val="56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441">
          <w:marLeft w:val="56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7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002">
          <w:marLeft w:val="56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073">
          <w:marLeft w:val="57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1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3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304">
          <w:marLeft w:val="57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5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581">
          <w:marLeft w:val="57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90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594">
          <w:marLeft w:val="57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3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2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26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70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64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6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1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4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7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464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1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96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4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9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5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939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90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60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1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30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0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73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2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8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093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87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87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7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34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5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09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89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7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12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2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9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1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65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18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2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48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50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96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16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72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1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87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36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0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8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4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0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5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199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1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4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80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5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76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4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7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954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574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742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380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9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623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61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09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99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81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829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23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5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9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9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54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22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53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24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05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67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21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09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0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8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99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04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88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2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94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7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030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63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77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0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9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0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0733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8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5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0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5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6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7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09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0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6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7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6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0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89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3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5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77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2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03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6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4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3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5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1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475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86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92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35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9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31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96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84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7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1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38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8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1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72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6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2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7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13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46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6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16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74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16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12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86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72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3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7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23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426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449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22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49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96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946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08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9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5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451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393">
          <w:marLeft w:val="69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694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89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8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4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790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4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38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12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53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10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4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4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5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72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35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3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63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3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26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09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9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2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560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6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591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9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905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9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5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6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48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9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6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64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28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9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5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8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4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18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9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639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8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347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56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79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0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0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33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3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8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793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6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68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3230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420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626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03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68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49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20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56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39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5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7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93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3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108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82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33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36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0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89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4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88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2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90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1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1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14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04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43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79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426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4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5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88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2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74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658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3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4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39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58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25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7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8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0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24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2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0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6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97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14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0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41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34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38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785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17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11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36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3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80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3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19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78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145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8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567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45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692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66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39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298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33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8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85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2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90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071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18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64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13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91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09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1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02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5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9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28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0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3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61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1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5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85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18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06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35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4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1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07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17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5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15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72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42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013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8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9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45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0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6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08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6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4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99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8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51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6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8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1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8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7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68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170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01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12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69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78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9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22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07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1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569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3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78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35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3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28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31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817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9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1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7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67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56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51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4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3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2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08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51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64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84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56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04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734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93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8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1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0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6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4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286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6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8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78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7613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8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2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0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8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32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09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51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76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0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301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50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158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163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84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766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372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3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362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02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49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79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862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2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9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68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0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2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4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9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45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23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4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07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3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66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92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88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64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6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8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10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0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86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616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943">
          <w:marLeft w:val="57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162">
          <w:marLeft w:val="57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307">
          <w:marLeft w:val="57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30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6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7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79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8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1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47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3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78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4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04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3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82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82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26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54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9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85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423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636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5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795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578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27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826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221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83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81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763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3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701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97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8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05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5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25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67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74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68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92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1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28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02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93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28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45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02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6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97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76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08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75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1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713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426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47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864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49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10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26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25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1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79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07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10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30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60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78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59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97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372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7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5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5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31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7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679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75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97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3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5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48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8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27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393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80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42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43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22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82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24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0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6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34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57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9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383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793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742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811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78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696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02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5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9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30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58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83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84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0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1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1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30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4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52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32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89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580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95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1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42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90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4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35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36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90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6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84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8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73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214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3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7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6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1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2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4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01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91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1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36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436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1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3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2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9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0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81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8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43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97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83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1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6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6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44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124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39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3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0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275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252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582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944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88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203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71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56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8565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9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937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94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1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8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60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4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8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3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49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42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31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0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71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6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3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8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39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48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7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23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4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36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8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4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39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9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3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0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2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9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16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50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06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31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89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04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15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14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74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3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05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7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92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36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4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8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1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864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112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7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0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88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7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03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2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4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61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60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7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210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916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36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44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3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445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25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81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52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80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92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66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305">
          <w:marLeft w:val="69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5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89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9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2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5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9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53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3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94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79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9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2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63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8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8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8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48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6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73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4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08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52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8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5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4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94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33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93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47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06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6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714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20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7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78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14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8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154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9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420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3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69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2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5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675D0E3B111AABFACF1ACB390DCC9523.dms.sberbank.ru/675D0E3B111AABFACF1ACB390DCC9523-CC12A5B104981595D4AF83DB68554A37-27ADC58D54A6F6C894852FC461581AE8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579C-5F84-4C2B-BC34-52D02E5D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Аделина Владимировна</dc:creator>
  <cp:keywords/>
  <dc:description/>
  <cp:lastModifiedBy>Dyozz</cp:lastModifiedBy>
  <cp:revision>80</cp:revision>
  <dcterms:created xsi:type="dcterms:W3CDTF">2025-02-27T06:26:00Z</dcterms:created>
  <dcterms:modified xsi:type="dcterms:W3CDTF">2026-02-26T14:12:00Z</dcterms:modified>
</cp:coreProperties>
</file>